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477" w:rsidRPr="00A67477" w:rsidRDefault="00A67477" w:rsidP="00A67477">
      <w:pPr>
        <w:spacing w:before="240" w:line="240" w:lineRule="auto"/>
        <w:jc w:val="lowKashida"/>
        <w:rPr>
          <w:rFonts w:asciiTheme="majorBidi" w:hAnsiTheme="majorBidi" w:cstheme="majorBidi"/>
          <w:b/>
          <w:bCs/>
          <w:sz w:val="24"/>
          <w:szCs w:val="24"/>
          <w:lang w:bidi="ar-EG"/>
        </w:rPr>
      </w:pPr>
      <w:r w:rsidRPr="00A67477">
        <w:rPr>
          <w:rFonts w:asciiTheme="majorBidi" w:hAnsiTheme="majorBidi" w:cstheme="majorBidi"/>
          <w:b/>
          <w:bCs/>
          <w:sz w:val="24"/>
          <w:szCs w:val="24"/>
          <w:lang w:bidi="ar-EG"/>
        </w:rPr>
        <w:t xml:space="preserve">Prevalence of risk factors in Egyptian patients with atherosclerotic cardiovascular diseases in </w:t>
      </w:r>
      <w:proofErr w:type="spellStart"/>
      <w:r w:rsidRPr="00A67477">
        <w:rPr>
          <w:rFonts w:asciiTheme="majorBidi" w:hAnsiTheme="majorBidi" w:cstheme="majorBidi"/>
          <w:b/>
          <w:bCs/>
          <w:sz w:val="24"/>
          <w:szCs w:val="24"/>
          <w:lang w:bidi="ar-EG"/>
        </w:rPr>
        <w:t>Benha</w:t>
      </w:r>
      <w:proofErr w:type="spellEnd"/>
      <w:r w:rsidRPr="00A67477">
        <w:rPr>
          <w:rFonts w:asciiTheme="majorBidi" w:hAnsiTheme="majorBidi" w:cstheme="majorBidi"/>
          <w:b/>
          <w:bCs/>
          <w:sz w:val="24"/>
          <w:szCs w:val="24"/>
          <w:lang w:bidi="ar-EG"/>
        </w:rPr>
        <w:t xml:space="preserve"> City: Hospital based cross sectional study</w:t>
      </w:r>
    </w:p>
    <w:p w:rsidR="00365753" w:rsidRPr="00A67477" w:rsidRDefault="00365753" w:rsidP="00A67477">
      <w:pPr>
        <w:spacing w:before="240" w:line="240" w:lineRule="auto"/>
        <w:jc w:val="lowKashida"/>
        <w:rPr>
          <w:rFonts w:asciiTheme="majorBidi" w:hAnsiTheme="majorBidi" w:cstheme="majorBidi"/>
          <w:b/>
          <w:bCs/>
          <w:sz w:val="24"/>
          <w:szCs w:val="24"/>
          <w:lang w:bidi="ar-EG"/>
        </w:rPr>
      </w:pPr>
      <w:r w:rsidRPr="00A67477">
        <w:rPr>
          <w:rFonts w:asciiTheme="majorBidi" w:hAnsiTheme="majorBidi" w:cstheme="majorBidi"/>
          <w:b/>
          <w:bCs/>
          <w:sz w:val="24"/>
          <w:szCs w:val="24"/>
          <w:lang w:bidi="ar-EG"/>
        </w:rPr>
        <w:t>Abstract</w:t>
      </w:r>
    </w:p>
    <w:p w:rsidR="004A2FCC" w:rsidRDefault="004A2FCC" w:rsidP="004A2FCC">
      <w:pPr>
        <w:pStyle w:val="NormalWeb"/>
        <w:jc w:val="lowKashida"/>
      </w:pPr>
      <w:r>
        <w:rPr>
          <w:rStyle w:val="Strong"/>
        </w:rPr>
        <w:t>Background:</w:t>
      </w:r>
      <w:r>
        <w:rPr>
          <w:rStyle w:val="Strong"/>
        </w:rPr>
        <w:t xml:space="preserve"> </w:t>
      </w:r>
      <w:r>
        <w:t>Atherosclerosis represents a major global health burden and underlies most cardiovascular diseases (CVDs). Understanding the distribution and contribution of modifiable and non-modifiable risk factors in various atherosclerotic conditions is crucial for tailored prevention strategies. This study aimed to evaluate the incidence and pattern of atherosclerosis-associated risk factors among Egyptian patients diagnosed with coronary artery disease (CAD), cerebrovascular disease (CVD), and peripheral artery disease (PAD).</w:t>
      </w:r>
    </w:p>
    <w:p w:rsidR="004A2FCC" w:rsidRDefault="004A2FCC" w:rsidP="004A2FCC">
      <w:pPr>
        <w:pStyle w:val="NormalWeb"/>
        <w:jc w:val="lowKashida"/>
      </w:pPr>
      <w:r>
        <w:rPr>
          <w:rStyle w:val="Strong"/>
        </w:rPr>
        <w:t>Methods:</w:t>
      </w:r>
      <w:r>
        <w:rPr>
          <w:rStyle w:val="Strong"/>
        </w:rPr>
        <w:t xml:space="preserve"> </w:t>
      </w:r>
      <w:r>
        <w:t xml:space="preserve">This cross-sectional, hospital-based study was conducted over 12 months (August 2023 to July 2024) at </w:t>
      </w:r>
      <w:proofErr w:type="spellStart"/>
      <w:r>
        <w:t>Benha</w:t>
      </w:r>
      <w:proofErr w:type="spellEnd"/>
      <w:r>
        <w:t xml:space="preserve"> University Hospital. A total of 1,000 adult patients (CAD = 317; CVD = 301; PAD = 382) with documented atherosclerotic cardiovascular disease were enrolled from outpatient and inpatient departments. Clinical data, anthropometric measurements, cardiovascular risk factors, and laboratory profiles were recorded. Data analysis was performed using SPSS version 25. Chi-square and ANOVA/</w:t>
      </w:r>
      <w:proofErr w:type="spellStart"/>
      <w:r>
        <w:t>Kruskal</w:t>
      </w:r>
      <w:proofErr w:type="spellEnd"/>
      <w:r>
        <w:t>-Wallis tests were applied, and a p-value &lt; 0.05 was considered statistically significant.</w:t>
      </w:r>
    </w:p>
    <w:p w:rsidR="004A2FCC" w:rsidRDefault="004A2FCC" w:rsidP="004A2FCC">
      <w:pPr>
        <w:pStyle w:val="NormalWeb"/>
        <w:jc w:val="lowKashida"/>
      </w:pPr>
      <w:r>
        <w:rPr>
          <w:rStyle w:val="Strong"/>
        </w:rPr>
        <w:t>Results:</w:t>
      </w:r>
      <w:r>
        <w:rPr>
          <w:rStyle w:val="Strong"/>
        </w:rPr>
        <w:t xml:space="preserve"> </w:t>
      </w:r>
      <w:r>
        <w:t>The mean age, gender distribution, residence, smoking status, body mass index (BMI), and waist circumference (WC) showed no statistically significant differences among the disease groups. Hypertension, diabetes mellitus (DM), and dyslipidemia were prevalent but similarly distributed across CAD, CVD, and PAD (p &gt; 0.05). There was significant vascular comorbidity overlap (p &lt; 0.001) between the groups. Laboratory parameters including fasting blood sugar (FBS), total cholesterol, triglycerides, low-density lipoprotein (LDL), and high-density lipoprotein (HDL) levels did not differ significantly among the groups.</w:t>
      </w:r>
    </w:p>
    <w:p w:rsidR="004A2FCC" w:rsidRDefault="004A2FCC" w:rsidP="004A2FCC">
      <w:pPr>
        <w:pStyle w:val="NormalWeb"/>
        <w:jc w:val="lowKashida"/>
      </w:pPr>
      <w:r>
        <w:rPr>
          <w:rStyle w:val="Strong"/>
        </w:rPr>
        <w:t>Conclusion:</w:t>
      </w:r>
      <w:r>
        <w:rPr>
          <w:rStyle w:val="Strong"/>
        </w:rPr>
        <w:t xml:space="preserve"> </w:t>
      </w:r>
      <w:r>
        <w:t>This study highlights a homogenous pattern of modifiable and non-modifiable atherosclerosis risk factors across CAD, CVD, and PAD among Egyptian patients. The high prevalence of shared risk factors underscores the need for integrated screening and preventive strategies targeting the entire cardiovascular continuum.</w:t>
      </w:r>
    </w:p>
    <w:p w:rsidR="004A2FCC" w:rsidRPr="004A2FCC" w:rsidRDefault="00365753" w:rsidP="004A2FCC">
      <w:pPr>
        <w:spacing w:before="240" w:line="240" w:lineRule="auto"/>
        <w:jc w:val="lowKashida"/>
        <w:rPr>
          <w:rFonts w:asciiTheme="majorBidi" w:hAnsiTheme="majorBidi" w:cstheme="majorBidi"/>
          <w:sz w:val="24"/>
          <w:szCs w:val="24"/>
          <w:lang w:bidi="ar-EG"/>
        </w:rPr>
      </w:pPr>
      <w:r w:rsidRPr="00A67477">
        <w:rPr>
          <w:rFonts w:asciiTheme="majorBidi" w:hAnsiTheme="majorBidi" w:cstheme="majorBidi"/>
          <w:b/>
          <w:bCs/>
          <w:sz w:val="24"/>
          <w:szCs w:val="24"/>
          <w:lang w:bidi="ar-EG"/>
        </w:rPr>
        <w:t>Keywords</w:t>
      </w:r>
      <w:r w:rsidR="004A2FCC">
        <w:rPr>
          <w:rFonts w:asciiTheme="majorBidi" w:hAnsiTheme="majorBidi" w:cstheme="majorBidi"/>
          <w:b/>
          <w:bCs/>
          <w:sz w:val="24"/>
          <w:szCs w:val="24"/>
          <w:lang w:bidi="ar-EG"/>
        </w:rPr>
        <w:t xml:space="preserve"> </w:t>
      </w:r>
      <w:r w:rsidR="004A2FCC" w:rsidRPr="004A2FCC">
        <w:rPr>
          <w:rFonts w:asciiTheme="majorBidi" w:hAnsiTheme="majorBidi" w:cstheme="majorBidi"/>
          <w:sz w:val="24"/>
          <w:szCs w:val="24"/>
          <w:lang w:bidi="ar-EG"/>
        </w:rPr>
        <w:t>Atherosclerosis, Cardiovascular disease, Risk factors, Coronary artery disease, Egypt</w:t>
      </w:r>
    </w:p>
    <w:p w:rsidR="001B04DA" w:rsidRDefault="00365753" w:rsidP="001B04DA">
      <w:pPr>
        <w:spacing w:before="240" w:line="240" w:lineRule="auto"/>
        <w:jc w:val="lowKashida"/>
        <w:rPr>
          <w:rFonts w:asciiTheme="majorBidi" w:hAnsiTheme="majorBidi" w:cstheme="majorBidi"/>
          <w:b/>
          <w:bCs/>
          <w:sz w:val="24"/>
          <w:szCs w:val="24"/>
          <w:lang w:bidi="ar-EG"/>
        </w:rPr>
      </w:pPr>
      <w:r w:rsidRPr="00A67477">
        <w:rPr>
          <w:rFonts w:asciiTheme="majorBidi" w:hAnsiTheme="majorBidi" w:cstheme="majorBidi"/>
          <w:b/>
          <w:bCs/>
          <w:sz w:val="24"/>
          <w:szCs w:val="24"/>
          <w:lang w:bidi="ar-EG"/>
        </w:rPr>
        <w:t>Introduction</w:t>
      </w:r>
    </w:p>
    <w:p w:rsidR="00A67477" w:rsidRPr="001B04DA" w:rsidRDefault="00A67477" w:rsidP="00D17696">
      <w:pPr>
        <w:spacing w:before="240" w:line="240" w:lineRule="auto"/>
        <w:ind w:firstLine="567"/>
        <w:jc w:val="lowKashida"/>
        <w:rPr>
          <w:rFonts w:asciiTheme="majorBidi" w:hAnsiTheme="majorBidi" w:cstheme="majorBidi"/>
          <w:b/>
          <w:bCs/>
          <w:sz w:val="24"/>
          <w:szCs w:val="24"/>
          <w:lang w:bidi="ar-EG"/>
        </w:rPr>
      </w:pPr>
      <w:r w:rsidRPr="00A67477">
        <w:rPr>
          <w:rFonts w:asciiTheme="majorBidi" w:eastAsia="Times New Roman" w:hAnsiTheme="majorBidi" w:cstheme="majorBidi"/>
          <w:sz w:val="24"/>
          <w:szCs w:val="24"/>
        </w:rPr>
        <w:t xml:space="preserve">Cardiovascular disease (CVD) is the leading cause of mortality globally </w:t>
      </w:r>
      <w:r w:rsidR="00D17696">
        <w:rPr>
          <w:rFonts w:asciiTheme="majorBidi" w:eastAsia="Times New Roman" w:hAnsiTheme="majorBidi" w:cstheme="majorBidi"/>
          <w:sz w:val="24"/>
          <w:szCs w:val="24"/>
        </w:rPr>
        <w:t>(</w:t>
      </w:r>
      <w:proofErr w:type="spellStart"/>
      <w:r w:rsidR="00D17696" w:rsidRPr="00365541">
        <w:rPr>
          <w:rFonts w:asciiTheme="majorBidi" w:hAnsiTheme="majorBidi" w:cstheme="majorBidi"/>
          <w:color w:val="222222"/>
          <w:sz w:val="24"/>
          <w:szCs w:val="24"/>
          <w:shd w:val="clear" w:color="auto" w:fill="FFFFFF"/>
        </w:rPr>
        <w:t>Abd</w:t>
      </w:r>
      <w:proofErr w:type="spellEnd"/>
      <w:r w:rsidR="00D17696" w:rsidRPr="00365541">
        <w:rPr>
          <w:rFonts w:asciiTheme="majorBidi" w:hAnsiTheme="majorBidi" w:cstheme="majorBidi"/>
          <w:color w:val="222222"/>
          <w:sz w:val="24"/>
          <w:szCs w:val="24"/>
          <w:shd w:val="clear" w:color="auto" w:fill="FFFFFF"/>
        </w:rPr>
        <w:t xml:space="preserve"> El-</w:t>
      </w:r>
      <w:proofErr w:type="spellStart"/>
      <w:r w:rsidR="00D17696" w:rsidRPr="00365541">
        <w:rPr>
          <w:rFonts w:asciiTheme="majorBidi" w:hAnsiTheme="majorBidi" w:cstheme="majorBidi"/>
          <w:color w:val="222222"/>
          <w:sz w:val="24"/>
          <w:szCs w:val="24"/>
          <w:shd w:val="clear" w:color="auto" w:fill="FFFFFF"/>
        </w:rPr>
        <w:t>Gawad</w:t>
      </w:r>
      <w:proofErr w:type="spellEnd"/>
      <w:r w:rsidR="00D17696">
        <w:rPr>
          <w:rFonts w:asciiTheme="majorBidi" w:hAnsiTheme="majorBidi" w:cstheme="majorBidi"/>
          <w:color w:val="222222"/>
          <w:sz w:val="24"/>
          <w:szCs w:val="24"/>
          <w:shd w:val="clear" w:color="auto" w:fill="FFFFFF"/>
        </w:rPr>
        <w:t xml:space="preserve"> et al., 2022)</w:t>
      </w:r>
      <w:r w:rsidRPr="00A67477">
        <w:rPr>
          <w:rFonts w:asciiTheme="majorBidi" w:eastAsia="Times New Roman" w:hAnsiTheme="majorBidi" w:cstheme="majorBidi"/>
          <w:sz w:val="24"/>
          <w:szCs w:val="24"/>
        </w:rPr>
        <w:t>. Cardiovascular disease encompasses a diverse range of conditions, including ailments of the cardiac muscle and the vascular system that supplies the heart, brain, and other essential organs. This discussion focusses on the epidemiological transition that has rendered cardiovascular disease (CVD) the predominant cause of mortality globally, evaluating the transition's state by region and highlighting regional disparities in the burden of CVD. We also evaluate the cost-effectiveness of diverse therapies targeting the principal drivers of cardiovascular dis</w:t>
      </w:r>
      <w:r>
        <w:rPr>
          <w:rFonts w:asciiTheme="majorBidi" w:eastAsia="Times New Roman" w:hAnsiTheme="majorBidi" w:cstheme="majorBidi"/>
          <w:sz w:val="24"/>
          <w:szCs w:val="24"/>
        </w:rPr>
        <w:t>ease morbidity and mortality</w:t>
      </w:r>
      <w:r w:rsidR="00D17696">
        <w:rPr>
          <w:rFonts w:asciiTheme="majorBidi" w:eastAsia="Times New Roman" w:hAnsiTheme="majorBidi" w:cstheme="majorBidi"/>
          <w:sz w:val="24"/>
          <w:szCs w:val="24"/>
        </w:rPr>
        <w:t xml:space="preserve"> (</w:t>
      </w:r>
      <w:proofErr w:type="spellStart"/>
      <w:r w:rsidR="00D17696" w:rsidRPr="00D17696">
        <w:rPr>
          <w:rFonts w:asciiTheme="majorBidi" w:eastAsia="Times New Roman" w:hAnsiTheme="majorBidi" w:cstheme="majorBidi"/>
          <w:sz w:val="24"/>
          <w:szCs w:val="24"/>
        </w:rPr>
        <w:t>Adhikary</w:t>
      </w:r>
      <w:proofErr w:type="spellEnd"/>
      <w:r w:rsidR="00D17696">
        <w:rPr>
          <w:rFonts w:asciiTheme="majorBidi" w:eastAsia="Times New Roman" w:hAnsiTheme="majorBidi" w:cstheme="majorBidi"/>
          <w:sz w:val="24"/>
          <w:szCs w:val="24"/>
        </w:rPr>
        <w:t xml:space="preserve"> et al., 2022)</w:t>
      </w:r>
      <w:r>
        <w:rPr>
          <w:rFonts w:asciiTheme="majorBidi" w:eastAsia="Times New Roman" w:hAnsiTheme="majorBidi" w:cstheme="majorBidi"/>
          <w:sz w:val="24"/>
          <w:szCs w:val="24"/>
        </w:rPr>
        <w:t xml:space="preserve">. </w:t>
      </w:r>
    </w:p>
    <w:p w:rsidR="00A67477" w:rsidRDefault="00A67477" w:rsidP="001B04DA">
      <w:pPr>
        <w:spacing w:before="240" w:line="240" w:lineRule="auto"/>
        <w:ind w:firstLine="567"/>
        <w:jc w:val="lowKashida"/>
        <w:rPr>
          <w:rFonts w:asciiTheme="majorBidi" w:eastAsia="Times New Roman" w:hAnsiTheme="majorBidi" w:cstheme="majorBidi"/>
          <w:sz w:val="24"/>
          <w:szCs w:val="24"/>
        </w:rPr>
      </w:pPr>
      <w:r w:rsidRPr="00A67477">
        <w:rPr>
          <w:rFonts w:asciiTheme="majorBidi" w:eastAsia="Times New Roman" w:hAnsiTheme="majorBidi" w:cstheme="majorBidi"/>
          <w:sz w:val="24"/>
          <w:szCs w:val="24"/>
        </w:rPr>
        <w:lastRenderedPageBreak/>
        <w:t xml:space="preserve">Cardiovascular disease (CVD) encompasses four principal domains. </w:t>
      </w:r>
      <w:r w:rsidRPr="00A67477">
        <w:rPr>
          <w:rFonts w:asciiTheme="majorBidi" w:eastAsia="Times New Roman" w:hAnsiTheme="majorBidi" w:cstheme="majorBidi"/>
          <w:sz w:val="24"/>
          <w:szCs w:val="24"/>
        </w:rPr>
        <w:br/>
        <w:t xml:space="preserve">Coronary heart disease (CHD), </w:t>
      </w:r>
      <w:proofErr w:type="spellStart"/>
      <w:r w:rsidRPr="00A67477">
        <w:rPr>
          <w:rFonts w:asciiTheme="majorBidi" w:eastAsia="Times New Roman" w:hAnsiTheme="majorBidi" w:cstheme="majorBidi"/>
          <w:sz w:val="24"/>
          <w:szCs w:val="24"/>
        </w:rPr>
        <w:t>characterised</w:t>
      </w:r>
      <w:proofErr w:type="spellEnd"/>
      <w:r w:rsidRPr="00A67477">
        <w:rPr>
          <w:rFonts w:asciiTheme="majorBidi" w:eastAsia="Times New Roman" w:hAnsiTheme="majorBidi" w:cstheme="majorBidi"/>
          <w:sz w:val="24"/>
          <w:szCs w:val="24"/>
        </w:rPr>
        <w:t xml:space="preserve"> by myocardial infarction, angina pec</w:t>
      </w:r>
      <w:r>
        <w:rPr>
          <w:rFonts w:asciiTheme="majorBidi" w:eastAsia="Times New Roman" w:hAnsiTheme="majorBidi" w:cstheme="majorBidi"/>
          <w:sz w:val="24"/>
          <w:szCs w:val="24"/>
        </w:rPr>
        <w:t xml:space="preserve">toris, and coronary mortality.  </w:t>
      </w:r>
      <w:r w:rsidRPr="00A67477">
        <w:rPr>
          <w:rFonts w:asciiTheme="majorBidi" w:eastAsia="Times New Roman" w:hAnsiTheme="majorBidi" w:cstheme="majorBidi"/>
          <w:sz w:val="24"/>
          <w:szCs w:val="24"/>
        </w:rPr>
        <w:t xml:space="preserve">Cerebrovascular disease, </w:t>
      </w:r>
      <w:proofErr w:type="spellStart"/>
      <w:r w:rsidRPr="00A67477">
        <w:rPr>
          <w:rFonts w:asciiTheme="majorBidi" w:eastAsia="Times New Roman" w:hAnsiTheme="majorBidi" w:cstheme="majorBidi"/>
          <w:sz w:val="24"/>
          <w:szCs w:val="24"/>
        </w:rPr>
        <w:t>characterised</w:t>
      </w:r>
      <w:proofErr w:type="spellEnd"/>
      <w:r w:rsidRPr="00A67477">
        <w:rPr>
          <w:rFonts w:asciiTheme="majorBidi" w:eastAsia="Times New Roman" w:hAnsiTheme="majorBidi" w:cstheme="majorBidi"/>
          <w:sz w:val="24"/>
          <w:szCs w:val="24"/>
        </w:rPr>
        <w:t xml:space="preserve"> by stroke and transient </w:t>
      </w:r>
      <w:proofErr w:type="spellStart"/>
      <w:r w:rsidRPr="00A67477">
        <w:rPr>
          <w:rFonts w:asciiTheme="majorBidi" w:eastAsia="Times New Roman" w:hAnsiTheme="majorBidi" w:cstheme="majorBidi"/>
          <w:sz w:val="24"/>
          <w:szCs w:val="24"/>
        </w:rPr>
        <w:t>ischaemic</w:t>
      </w:r>
      <w:proofErr w:type="spellEnd"/>
      <w:r w:rsidRPr="00A67477">
        <w:rPr>
          <w:rFonts w:asciiTheme="majorBidi" w:eastAsia="Times New Roman" w:hAnsiTheme="majorBidi" w:cstheme="majorBidi"/>
          <w:sz w:val="24"/>
          <w:szCs w:val="24"/>
        </w:rPr>
        <w:t xml:space="preserve"> attack. Peripheral artery disease, indicated by intermittent claudication. Aortic atherosclerosis and thoracic and a</w:t>
      </w:r>
      <w:r>
        <w:rPr>
          <w:rFonts w:asciiTheme="majorBidi" w:eastAsia="Times New Roman" w:hAnsiTheme="majorBidi" w:cstheme="majorBidi"/>
          <w:sz w:val="24"/>
          <w:szCs w:val="24"/>
        </w:rPr>
        <w:t xml:space="preserve">bdominal aortic aneurysm. </w:t>
      </w:r>
    </w:p>
    <w:p w:rsidR="00A67477" w:rsidRDefault="00A67477" w:rsidP="00D17696">
      <w:pPr>
        <w:spacing w:before="240" w:line="240" w:lineRule="auto"/>
        <w:ind w:firstLine="567"/>
        <w:jc w:val="lowKashida"/>
        <w:rPr>
          <w:rFonts w:asciiTheme="majorBidi" w:eastAsia="Times New Roman" w:hAnsiTheme="majorBidi" w:cstheme="majorBidi"/>
          <w:sz w:val="24"/>
          <w:szCs w:val="24"/>
        </w:rPr>
      </w:pPr>
      <w:r w:rsidRPr="00A67477">
        <w:rPr>
          <w:rFonts w:asciiTheme="majorBidi" w:eastAsia="Times New Roman" w:hAnsiTheme="majorBidi" w:cstheme="majorBidi"/>
          <w:sz w:val="24"/>
          <w:szCs w:val="24"/>
        </w:rPr>
        <w:t xml:space="preserve">Atherosclerosis is the primary </w:t>
      </w:r>
      <w:proofErr w:type="spellStart"/>
      <w:r w:rsidRPr="00A67477">
        <w:rPr>
          <w:rFonts w:asciiTheme="majorBidi" w:eastAsia="Times New Roman" w:hAnsiTheme="majorBidi" w:cstheme="majorBidi"/>
          <w:sz w:val="24"/>
          <w:szCs w:val="24"/>
        </w:rPr>
        <w:t>aetiology</w:t>
      </w:r>
      <w:proofErr w:type="spellEnd"/>
      <w:r w:rsidRPr="00A67477">
        <w:rPr>
          <w:rFonts w:asciiTheme="majorBidi" w:eastAsia="Times New Roman" w:hAnsiTheme="majorBidi" w:cstheme="majorBidi"/>
          <w:sz w:val="24"/>
          <w:szCs w:val="24"/>
        </w:rPr>
        <w:t xml:space="preserve"> of cardiovascular disease (CVD), encompassing myocardial infarction (MI), heart failure, stroke, and claudication. Atherosclerosis predominantly occurs in the intima of several medium and large arteries, particularly at bifurcation points. This is presumably controlled by blood flow characteristics, as regions subjected to normal shear stress appear to be safeguarded; in these areas, endothelial cells express </w:t>
      </w:r>
      <w:proofErr w:type="spellStart"/>
      <w:r w:rsidRPr="00A67477">
        <w:rPr>
          <w:rFonts w:asciiTheme="majorBidi" w:eastAsia="Times New Roman" w:hAnsiTheme="majorBidi" w:cstheme="majorBidi"/>
          <w:sz w:val="24"/>
          <w:szCs w:val="24"/>
        </w:rPr>
        <w:t>atheroprotective</w:t>
      </w:r>
      <w:proofErr w:type="spellEnd"/>
      <w:r w:rsidRPr="00A67477">
        <w:rPr>
          <w:rFonts w:asciiTheme="majorBidi" w:eastAsia="Times New Roman" w:hAnsiTheme="majorBidi" w:cstheme="majorBidi"/>
          <w:sz w:val="24"/>
          <w:szCs w:val="24"/>
        </w:rPr>
        <w:t xml:space="preserve"> genes. The adventitia may contribute to the development of atherosclerosis and is </w:t>
      </w:r>
      <w:proofErr w:type="spellStart"/>
      <w:r w:rsidRPr="00A67477">
        <w:rPr>
          <w:rFonts w:asciiTheme="majorBidi" w:eastAsia="Times New Roman" w:hAnsiTheme="majorBidi" w:cstheme="majorBidi"/>
          <w:sz w:val="24"/>
          <w:szCs w:val="24"/>
        </w:rPr>
        <w:t>characterised</w:t>
      </w:r>
      <w:proofErr w:type="spellEnd"/>
      <w:r w:rsidRPr="00A67477">
        <w:rPr>
          <w:rFonts w:asciiTheme="majorBidi" w:eastAsia="Times New Roman" w:hAnsiTheme="majorBidi" w:cstheme="majorBidi"/>
          <w:sz w:val="24"/>
          <w:szCs w:val="24"/>
        </w:rPr>
        <w:t xml:space="preserve"> b</w:t>
      </w:r>
      <w:r>
        <w:rPr>
          <w:rFonts w:asciiTheme="majorBidi" w:eastAsia="Times New Roman" w:hAnsiTheme="majorBidi" w:cstheme="majorBidi"/>
          <w:sz w:val="24"/>
          <w:szCs w:val="24"/>
        </w:rPr>
        <w:t xml:space="preserve">y lymphocytic infiltrates </w:t>
      </w:r>
      <w:r w:rsidR="00D17696">
        <w:rPr>
          <w:rFonts w:asciiTheme="majorBidi" w:eastAsia="Times New Roman" w:hAnsiTheme="majorBidi" w:cstheme="majorBidi"/>
          <w:sz w:val="24"/>
          <w:szCs w:val="24"/>
        </w:rPr>
        <w:t>(</w:t>
      </w:r>
      <w:proofErr w:type="spellStart"/>
      <w:r w:rsidR="00D17696" w:rsidRPr="00365541">
        <w:rPr>
          <w:rFonts w:asciiTheme="majorBidi" w:hAnsiTheme="majorBidi" w:cstheme="majorBidi"/>
          <w:color w:val="222222"/>
          <w:sz w:val="24"/>
          <w:szCs w:val="24"/>
          <w:shd w:val="clear" w:color="auto" w:fill="FFFFFF"/>
        </w:rPr>
        <w:t>Arafa</w:t>
      </w:r>
      <w:proofErr w:type="spellEnd"/>
      <w:r w:rsidR="00D17696">
        <w:rPr>
          <w:rFonts w:asciiTheme="majorBidi" w:hAnsiTheme="majorBidi" w:cstheme="majorBidi"/>
          <w:color w:val="222222"/>
          <w:sz w:val="24"/>
          <w:szCs w:val="24"/>
          <w:shd w:val="clear" w:color="auto" w:fill="FFFFFF"/>
        </w:rPr>
        <w:t xml:space="preserve"> et al., 2018)</w:t>
      </w:r>
      <w:r>
        <w:rPr>
          <w:rFonts w:asciiTheme="majorBidi" w:eastAsia="Times New Roman" w:hAnsiTheme="majorBidi" w:cstheme="majorBidi"/>
          <w:sz w:val="24"/>
          <w:szCs w:val="24"/>
        </w:rPr>
        <w:t xml:space="preserve">. </w:t>
      </w:r>
    </w:p>
    <w:p w:rsidR="00A67477" w:rsidRDefault="00A67477" w:rsidP="001B04DA">
      <w:pPr>
        <w:spacing w:before="240" w:line="240" w:lineRule="auto"/>
        <w:ind w:firstLine="567"/>
        <w:jc w:val="lowKashida"/>
        <w:rPr>
          <w:rFonts w:asciiTheme="majorBidi" w:eastAsia="Times New Roman" w:hAnsiTheme="majorBidi" w:cstheme="majorBidi"/>
          <w:sz w:val="24"/>
          <w:szCs w:val="24"/>
        </w:rPr>
      </w:pPr>
      <w:r w:rsidRPr="00A67477">
        <w:rPr>
          <w:rFonts w:asciiTheme="majorBidi" w:eastAsia="Times New Roman" w:hAnsiTheme="majorBidi" w:cstheme="majorBidi"/>
          <w:sz w:val="24"/>
          <w:szCs w:val="24"/>
        </w:rPr>
        <w:t xml:space="preserve">The activation of endothelium, </w:t>
      </w:r>
      <w:proofErr w:type="spellStart"/>
      <w:r w:rsidRPr="00A67477">
        <w:rPr>
          <w:rFonts w:asciiTheme="majorBidi" w:eastAsia="Times New Roman" w:hAnsiTheme="majorBidi" w:cstheme="majorBidi"/>
          <w:sz w:val="24"/>
          <w:szCs w:val="24"/>
        </w:rPr>
        <w:t>characterised</w:t>
      </w:r>
      <w:proofErr w:type="spellEnd"/>
      <w:r w:rsidRPr="00A67477">
        <w:rPr>
          <w:rFonts w:asciiTheme="majorBidi" w:eastAsia="Times New Roman" w:hAnsiTheme="majorBidi" w:cstheme="majorBidi"/>
          <w:sz w:val="24"/>
          <w:szCs w:val="24"/>
        </w:rPr>
        <w:t xml:space="preserve"> by the production of adhesion molecules, is a first occurrence in atherosclerosis, facilitating the attachment and infiltration of mononuclear leukocytes, including monocytes and T-cells, into the intima. Dendritic cells, mast cells, and a limited number of neutrophils and B-cells may also be found in lesions, albeit less frequently than these cells. Another cell type found in lesions is smooth muscle cells (SMC), which undergo phenotypic transformation into synthetic SMC and move from the media to the intima. The concept of atherosclerosis as an inflammatory illness is founded on the observation that immunological capable cells are prevalent in atherosclerotic lesions and are also </w:t>
      </w:r>
      <w:proofErr w:type="spellStart"/>
      <w:r w:rsidRPr="00A67477">
        <w:rPr>
          <w:rFonts w:asciiTheme="majorBidi" w:eastAsia="Times New Roman" w:hAnsiTheme="majorBidi" w:cstheme="majorBidi"/>
          <w:sz w:val="24"/>
          <w:szCs w:val="24"/>
        </w:rPr>
        <w:t>synthesising</w:t>
      </w:r>
      <w:proofErr w:type="spellEnd"/>
      <w:r w:rsidRPr="00A67477">
        <w:rPr>
          <w:rFonts w:asciiTheme="majorBidi" w:eastAsia="Times New Roman" w:hAnsiTheme="majorBidi" w:cstheme="majorBidi"/>
          <w:sz w:val="24"/>
          <w:szCs w:val="24"/>
        </w:rPr>
        <w:t xml:space="preserve"> cytokines, particula</w:t>
      </w:r>
      <w:r>
        <w:rPr>
          <w:rFonts w:asciiTheme="majorBidi" w:eastAsia="Times New Roman" w:hAnsiTheme="majorBidi" w:cstheme="majorBidi"/>
          <w:sz w:val="24"/>
          <w:szCs w:val="24"/>
        </w:rPr>
        <w:t xml:space="preserve">rly </w:t>
      </w:r>
      <w:proofErr w:type="spellStart"/>
      <w:r>
        <w:rPr>
          <w:rFonts w:asciiTheme="majorBidi" w:eastAsia="Times New Roman" w:hAnsiTheme="majorBidi" w:cstheme="majorBidi"/>
          <w:sz w:val="24"/>
          <w:szCs w:val="24"/>
        </w:rPr>
        <w:t>proinflammatory</w:t>
      </w:r>
      <w:proofErr w:type="spellEnd"/>
      <w:r>
        <w:rPr>
          <w:rFonts w:asciiTheme="majorBidi" w:eastAsia="Times New Roman" w:hAnsiTheme="majorBidi" w:cstheme="majorBidi"/>
          <w:sz w:val="24"/>
          <w:szCs w:val="24"/>
        </w:rPr>
        <w:t xml:space="preserve"> cytokines</w:t>
      </w:r>
      <w:r w:rsidR="00A96612">
        <w:rPr>
          <w:rFonts w:asciiTheme="majorBidi" w:eastAsia="Times New Roman" w:hAnsiTheme="majorBidi" w:cstheme="majorBidi"/>
          <w:sz w:val="24"/>
          <w:szCs w:val="24"/>
        </w:rPr>
        <w:t xml:space="preserve"> (</w:t>
      </w:r>
      <w:proofErr w:type="spellStart"/>
      <w:r w:rsidR="00A96612" w:rsidRPr="00365541">
        <w:rPr>
          <w:rFonts w:asciiTheme="majorBidi" w:hAnsiTheme="majorBidi" w:cstheme="majorBidi"/>
          <w:color w:val="222222"/>
          <w:sz w:val="24"/>
          <w:szCs w:val="24"/>
          <w:shd w:val="clear" w:color="auto" w:fill="FFFFFF"/>
        </w:rPr>
        <w:t>Assem</w:t>
      </w:r>
      <w:proofErr w:type="spellEnd"/>
      <w:r w:rsidR="00A96612">
        <w:rPr>
          <w:rFonts w:asciiTheme="majorBidi" w:hAnsiTheme="majorBidi" w:cstheme="majorBidi"/>
          <w:color w:val="222222"/>
          <w:sz w:val="24"/>
          <w:szCs w:val="24"/>
          <w:shd w:val="clear" w:color="auto" w:fill="FFFFFF"/>
        </w:rPr>
        <w:t xml:space="preserve"> et al., 2021)</w:t>
      </w:r>
      <w:r>
        <w:rPr>
          <w:rFonts w:asciiTheme="majorBidi" w:eastAsia="Times New Roman" w:hAnsiTheme="majorBidi" w:cstheme="majorBidi"/>
          <w:sz w:val="24"/>
          <w:szCs w:val="24"/>
        </w:rPr>
        <w:t xml:space="preserve">. </w:t>
      </w:r>
    </w:p>
    <w:p w:rsidR="00A67477" w:rsidRDefault="00A67477" w:rsidP="00A96612">
      <w:pPr>
        <w:spacing w:before="240" w:line="240" w:lineRule="auto"/>
        <w:ind w:firstLine="567"/>
        <w:jc w:val="lowKashida"/>
        <w:rPr>
          <w:rFonts w:asciiTheme="majorBidi" w:eastAsia="Times New Roman" w:hAnsiTheme="majorBidi" w:cstheme="majorBidi"/>
          <w:sz w:val="24"/>
          <w:szCs w:val="24"/>
        </w:rPr>
      </w:pPr>
      <w:r w:rsidRPr="00A67477">
        <w:rPr>
          <w:rFonts w:asciiTheme="majorBidi" w:eastAsia="Times New Roman" w:hAnsiTheme="majorBidi" w:cstheme="majorBidi"/>
          <w:sz w:val="24"/>
          <w:szCs w:val="24"/>
        </w:rPr>
        <w:t xml:space="preserve">Although atherosclerosis itself may reduce blood flow by stenosis and hence lead to cardiovascular disease, the predominant mechanism seems to be </w:t>
      </w:r>
      <w:proofErr w:type="spellStart"/>
      <w:r w:rsidRPr="00A67477">
        <w:rPr>
          <w:rFonts w:asciiTheme="majorBidi" w:eastAsia="Times New Roman" w:hAnsiTheme="majorBidi" w:cstheme="majorBidi"/>
          <w:sz w:val="24"/>
          <w:szCs w:val="24"/>
        </w:rPr>
        <w:t>atherothrombosis</w:t>
      </w:r>
      <w:proofErr w:type="spellEnd"/>
      <w:r w:rsidRPr="00A67477">
        <w:rPr>
          <w:rFonts w:asciiTheme="majorBidi" w:eastAsia="Times New Roman" w:hAnsiTheme="majorBidi" w:cstheme="majorBidi"/>
          <w:sz w:val="24"/>
          <w:szCs w:val="24"/>
        </w:rPr>
        <w:t xml:space="preserve">, typically occurring when plaques are compromised by </w:t>
      </w:r>
      <w:proofErr w:type="spellStart"/>
      <w:r w:rsidRPr="00A67477">
        <w:rPr>
          <w:rFonts w:asciiTheme="majorBidi" w:eastAsia="Times New Roman" w:hAnsiTheme="majorBidi" w:cstheme="majorBidi"/>
          <w:sz w:val="24"/>
          <w:szCs w:val="24"/>
        </w:rPr>
        <w:t>proinflammatory</w:t>
      </w:r>
      <w:proofErr w:type="spellEnd"/>
      <w:r w:rsidRPr="00A67477">
        <w:rPr>
          <w:rFonts w:asciiTheme="majorBidi" w:eastAsia="Times New Roman" w:hAnsiTheme="majorBidi" w:cstheme="majorBidi"/>
          <w:sz w:val="24"/>
          <w:szCs w:val="24"/>
        </w:rPr>
        <w:t xml:space="preserve"> cytokines and chemokines affecting the fibrous cap. When plaques are compromised and break, </w:t>
      </w:r>
      <w:proofErr w:type="spellStart"/>
      <w:r w:rsidRPr="00A67477">
        <w:rPr>
          <w:rFonts w:asciiTheme="majorBidi" w:eastAsia="Times New Roman" w:hAnsiTheme="majorBidi" w:cstheme="majorBidi"/>
          <w:sz w:val="24"/>
          <w:szCs w:val="24"/>
        </w:rPr>
        <w:t>prothrombotic</w:t>
      </w:r>
      <w:proofErr w:type="spellEnd"/>
      <w:r w:rsidRPr="00A67477">
        <w:rPr>
          <w:rFonts w:asciiTheme="majorBidi" w:eastAsia="Times New Roman" w:hAnsiTheme="majorBidi" w:cstheme="majorBidi"/>
          <w:sz w:val="24"/>
          <w:szCs w:val="24"/>
        </w:rPr>
        <w:t xml:space="preserve"> substances are revealed to the coagulation system, resulting in impaired blood flow and hence the onset of cardiovascular disease (CVD). The primary modifiable risk factors for atherosclerosis and cardiovascular disease include hypertension, smoking, diabetes, and </w:t>
      </w:r>
      <w:proofErr w:type="spellStart"/>
      <w:r w:rsidRPr="00A67477">
        <w:rPr>
          <w:rFonts w:asciiTheme="majorBidi" w:eastAsia="Times New Roman" w:hAnsiTheme="majorBidi" w:cstheme="majorBidi"/>
          <w:sz w:val="24"/>
          <w:szCs w:val="24"/>
        </w:rPr>
        <w:t>dyslipidaemia</w:t>
      </w:r>
      <w:proofErr w:type="spellEnd"/>
      <w:r w:rsidRPr="00A67477">
        <w:rPr>
          <w:rFonts w:asciiTheme="majorBidi" w:eastAsia="Times New Roman" w:hAnsiTheme="majorBidi" w:cstheme="majorBidi"/>
          <w:sz w:val="24"/>
          <w:szCs w:val="24"/>
        </w:rPr>
        <w:t xml:space="preserve">. Furthermore, age and male </w:t>
      </w:r>
      <w:r>
        <w:rPr>
          <w:rFonts w:asciiTheme="majorBidi" w:eastAsia="Times New Roman" w:hAnsiTheme="majorBidi" w:cstheme="majorBidi"/>
          <w:sz w:val="24"/>
          <w:szCs w:val="24"/>
        </w:rPr>
        <w:t xml:space="preserve">gender are very important </w:t>
      </w:r>
      <w:r w:rsidR="00A96612">
        <w:rPr>
          <w:rFonts w:asciiTheme="majorBidi" w:eastAsia="Times New Roman" w:hAnsiTheme="majorBidi" w:cstheme="majorBidi"/>
          <w:sz w:val="24"/>
          <w:szCs w:val="24"/>
        </w:rPr>
        <w:t>(</w:t>
      </w:r>
      <w:proofErr w:type="spellStart"/>
      <w:r w:rsidR="00A96612" w:rsidRPr="00365541">
        <w:rPr>
          <w:rFonts w:asciiTheme="majorBidi" w:hAnsiTheme="majorBidi" w:cstheme="majorBidi"/>
          <w:sz w:val="24"/>
          <w:szCs w:val="24"/>
        </w:rPr>
        <w:t>Azab</w:t>
      </w:r>
      <w:proofErr w:type="spellEnd"/>
      <w:r w:rsidR="00A96612">
        <w:rPr>
          <w:rFonts w:asciiTheme="majorBidi" w:hAnsiTheme="majorBidi" w:cstheme="majorBidi"/>
          <w:sz w:val="24"/>
          <w:szCs w:val="24"/>
        </w:rPr>
        <w:t xml:space="preserve"> et al., 2018)</w:t>
      </w:r>
      <w:r>
        <w:rPr>
          <w:rFonts w:asciiTheme="majorBidi" w:eastAsia="Times New Roman" w:hAnsiTheme="majorBidi" w:cstheme="majorBidi"/>
          <w:sz w:val="24"/>
          <w:szCs w:val="24"/>
        </w:rPr>
        <w:t xml:space="preserve">. </w:t>
      </w:r>
    </w:p>
    <w:p w:rsidR="00A67477" w:rsidRPr="00A67477" w:rsidRDefault="00A67477" w:rsidP="001B04DA">
      <w:pPr>
        <w:spacing w:before="240" w:line="240" w:lineRule="auto"/>
        <w:ind w:firstLine="567"/>
        <w:jc w:val="lowKashida"/>
        <w:rPr>
          <w:rFonts w:asciiTheme="majorBidi" w:eastAsia="Times New Roman" w:hAnsiTheme="majorBidi" w:cstheme="majorBidi"/>
          <w:sz w:val="24"/>
          <w:szCs w:val="24"/>
        </w:rPr>
      </w:pPr>
      <w:r w:rsidRPr="00A67477">
        <w:rPr>
          <w:rFonts w:asciiTheme="majorBidi" w:eastAsia="Times New Roman" w:hAnsiTheme="majorBidi" w:cstheme="majorBidi"/>
          <w:sz w:val="24"/>
          <w:szCs w:val="24"/>
        </w:rPr>
        <w:t xml:space="preserve">Implementing therapeutic lifestyle modifications alongside an intensive multidrug strategy aimed at </w:t>
      </w:r>
      <w:proofErr w:type="spellStart"/>
      <w:r w:rsidRPr="00A67477">
        <w:rPr>
          <w:rFonts w:asciiTheme="majorBidi" w:eastAsia="Times New Roman" w:hAnsiTheme="majorBidi" w:cstheme="majorBidi"/>
          <w:sz w:val="24"/>
          <w:szCs w:val="24"/>
        </w:rPr>
        <w:t>normalising</w:t>
      </w:r>
      <w:proofErr w:type="spellEnd"/>
      <w:r w:rsidRPr="00A67477">
        <w:rPr>
          <w:rFonts w:asciiTheme="majorBidi" w:eastAsia="Times New Roman" w:hAnsiTheme="majorBidi" w:cstheme="majorBidi"/>
          <w:sz w:val="24"/>
          <w:szCs w:val="24"/>
        </w:rPr>
        <w:t xml:space="preserve"> key cardiovascular risk factors will mitigate the </w:t>
      </w:r>
      <w:proofErr w:type="spellStart"/>
      <w:r w:rsidRPr="00A67477">
        <w:rPr>
          <w:rFonts w:asciiTheme="majorBidi" w:eastAsia="Times New Roman" w:hAnsiTheme="majorBidi" w:cstheme="majorBidi"/>
          <w:sz w:val="24"/>
          <w:szCs w:val="24"/>
        </w:rPr>
        <w:t>atherogenic</w:t>
      </w:r>
      <w:proofErr w:type="spellEnd"/>
      <w:r w:rsidRPr="00A67477">
        <w:rPr>
          <w:rFonts w:asciiTheme="majorBidi" w:eastAsia="Times New Roman" w:hAnsiTheme="majorBidi" w:cstheme="majorBidi"/>
          <w:sz w:val="24"/>
          <w:szCs w:val="24"/>
        </w:rPr>
        <w:t xml:space="preserve"> environment, diminish vascular inflammation, and significantly lower the likelihood of adverse cardiovascular events and the necessity for </w:t>
      </w:r>
      <w:proofErr w:type="spellStart"/>
      <w:r w:rsidRPr="00A67477">
        <w:rPr>
          <w:rFonts w:asciiTheme="majorBidi" w:eastAsia="Times New Roman" w:hAnsiTheme="majorBidi" w:cstheme="majorBidi"/>
          <w:sz w:val="24"/>
          <w:szCs w:val="24"/>
        </w:rPr>
        <w:t>revascularisation</w:t>
      </w:r>
      <w:proofErr w:type="spellEnd"/>
      <w:r w:rsidRPr="00A67477">
        <w:rPr>
          <w:rFonts w:asciiTheme="majorBidi" w:eastAsia="Times New Roman" w:hAnsiTheme="majorBidi" w:cstheme="majorBidi"/>
          <w:sz w:val="24"/>
          <w:szCs w:val="24"/>
        </w:rPr>
        <w:t xml:space="preserve"> procedures. Specific cardiovascular risk factors and optimum medications for primary and seco</w:t>
      </w:r>
      <w:r w:rsidR="001B04DA">
        <w:rPr>
          <w:rFonts w:asciiTheme="majorBidi" w:eastAsia="Times New Roman" w:hAnsiTheme="majorBidi" w:cstheme="majorBidi"/>
          <w:sz w:val="24"/>
          <w:szCs w:val="24"/>
        </w:rPr>
        <w:t xml:space="preserve">ndary prevention are examined. </w:t>
      </w:r>
      <w:r w:rsidRPr="00A67477">
        <w:rPr>
          <w:rFonts w:asciiTheme="majorBidi" w:eastAsia="Times New Roman" w:hAnsiTheme="majorBidi" w:cstheme="majorBidi"/>
          <w:sz w:val="24"/>
          <w:szCs w:val="24"/>
        </w:rPr>
        <w:t>This study aims to assess the pattern and incidence of risk factors for atherosclerosis, both modifiable and non-modifiable, in a cohort of Egyptian patients with atherosclerotic cardiovascular illnesses.</w:t>
      </w:r>
    </w:p>
    <w:p w:rsidR="001E4F86" w:rsidRDefault="001E4F86" w:rsidP="00A67477">
      <w:pPr>
        <w:spacing w:before="240" w:after="200" w:line="240" w:lineRule="auto"/>
        <w:jc w:val="lowKashida"/>
        <w:rPr>
          <w:rFonts w:asciiTheme="majorBidi" w:hAnsiTheme="majorBidi" w:cstheme="majorBidi"/>
          <w:b/>
          <w:bCs/>
          <w:sz w:val="24"/>
          <w:szCs w:val="24"/>
          <w:lang w:bidi="ar-EG"/>
        </w:rPr>
      </w:pPr>
    </w:p>
    <w:p w:rsidR="001E4F86" w:rsidRDefault="001E4F86" w:rsidP="00A67477">
      <w:pPr>
        <w:spacing w:before="240" w:after="200" w:line="240" w:lineRule="auto"/>
        <w:jc w:val="lowKashida"/>
        <w:rPr>
          <w:rFonts w:asciiTheme="majorBidi" w:hAnsiTheme="majorBidi" w:cstheme="majorBidi"/>
          <w:b/>
          <w:bCs/>
          <w:sz w:val="24"/>
          <w:szCs w:val="24"/>
          <w:lang w:bidi="ar-EG"/>
        </w:rPr>
      </w:pPr>
    </w:p>
    <w:p w:rsidR="001E4F86" w:rsidRDefault="001E4F86" w:rsidP="00A67477">
      <w:pPr>
        <w:spacing w:before="240" w:after="200" w:line="240" w:lineRule="auto"/>
        <w:jc w:val="lowKashida"/>
        <w:rPr>
          <w:rFonts w:asciiTheme="majorBidi" w:hAnsiTheme="majorBidi" w:cstheme="majorBidi"/>
          <w:b/>
          <w:bCs/>
          <w:sz w:val="24"/>
          <w:szCs w:val="24"/>
          <w:lang w:bidi="ar-EG"/>
        </w:rPr>
      </w:pPr>
    </w:p>
    <w:p w:rsidR="001E4F86" w:rsidRDefault="001E4F86" w:rsidP="00A67477">
      <w:pPr>
        <w:spacing w:before="240" w:after="200" w:line="240" w:lineRule="auto"/>
        <w:jc w:val="lowKashida"/>
        <w:rPr>
          <w:rFonts w:asciiTheme="majorBidi" w:hAnsiTheme="majorBidi" w:cstheme="majorBidi"/>
          <w:b/>
          <w:bCs/>
          <w:sz w:val="24"/>
          <w:szCs w:val="24"/>
          <w:lang w:bidi="ar-EG"/>
        </w:rPr>
      </w:pPr>
    </w:p>
    <w:p w:rsidR="00A67477" w:rsidRPr="00A67477" w:rsidRDefault="00A67477" w:rsidP="00A67477">
      <w:pPr>
        <w:spacing w:before="240" w:after="200" w:line="240" w:lineRule="auto"/>
        <w:jc w:val="lowKashida"/>
        <w:rPr>
          <w:rFonts w:asciiTheme="majorBidi" w:hAnsiTheme="majorBidi" w:cstheme="majorBidi"/>
          <w:b/>
          <w:bCs/>
          <w:i/>
          <w:iCs/>
          <w:sz w:val="24"/>
          <w:szCs w:val="24"/>
          <w:highlight w:val="yellow"/>
          <w:lang w:bidi="ar-EG"/>
        </w:rPr>
      </w:pPr>
      <w:r w:rsidRPr="00A67477">
        <w:rPr>
          <w:rFonts w:asciiTheme="majorBidi" w:hAnsiTheme="majorBidi" w:cstheme="majorBidi"/>
          <w:b/>
          <w:bCs/>
          <w:sz w:val="24"/>
          <w:szCs w:val="24"/>
          <w:lang w:bidi="ar-EG"/>
        </w:rPr>
        <w:lastRenderedPageBreak/>
        <w:t>Patients and Methods</w:t>
      </w:r>
    </w:p>
    <w:p w:rsidR="00A67477" w:rsidRPr="00A67477" w:rsidRDefault="00A67477" w:rsidP="003E2A30">
      <w:pPr>
        <w:pStyle w:val="Heading1"/>
        <w:spacing w:after="200" w:line="240" w:lineRule="auto"/>
        <w:ind w:right="-29"/>
        <w:jc w:val="lowKashida"/>
        <w:rPr>
          <w:rFonts w:asciiTheme="majorBidi" w:hAnsiTheme="majorBidi" w:cstheme="majorBidi"/>
          <w:b/>
          <w:bCs/>
          <w:color w:val="auto"/>
          <w:sz w:val="24"/>
          <w:szCs w:val="24"/>
        </w:rPr>
      </w:pPr>
      <w:bookmarkStart w:id="0" w:name="Study_design_and_methods"/>
      <w:bookmarkEnd w:id="0"/>
      <w:r w:rsidRPr="00A67477">
        <w:rPr>
          <w:rFonts w:asciiTheme="majorBidi" w:hAnsiTheme="majorBidi" w:cstheme="majorBidi"/>
          <w:b/>
          <w:bCs/>
          <w:color w:val="auto"/>
          <w:sz w:val="24"/>
          <w:szCs w:val="24"/>
        </w:rPr>
        <w:t>Study design</w:t>
      </w:r>
      <w:r w:rsidRPr="00A67477">
        <w:rPr>
          <w:rFonts w:asciiTheme="majorBidi" w:hAnsiTheme="majorBidi" w:cstheme="majorBidi"/>
          <w:b/>
          <w:bCs/>
          <w:color w:val="auto"/>
          <w:spacing w:val="-6"/>
          <w:sz w:val="24"/>
          <w:szCs w:val="24"/>
        </w:rPr>
        <w:t xml:space="preserve"> </w:t>
      </w:r>
      <w:r w:rsidRPr="00A67477">
        <w:rPr>
          <w:rFonts w:asciiTheme="majorBidi" w:hAnsiTheme="majorBidi" w:cstheme="majorBidi"/>
          <w:b/>
          <w:bCs/>
          <w:color w:val="auto"/>
          <w:sz w:val="24"/>
          <w:szCs w:val="24"/>
        </w:rPr>
        <w:t xml:space="preserve">and </w:t>
      </w:r>
      <w:r w:rsidR="003E2A30">
        <w:rPr>
          <w:rFonts w:asciiTheme="majorBidi" w:hAnsiTheme="majorBidi" w:cstheme="majorBidi"/>
          <w:b/>
          <w:bCs/>
          <w:color w:val="auto"/>
          <w:spacing w:val="-2"/>
          <w:sz w:val="24"/>
          <w:szCs w:val="24"/>
        </w:rPr>
        <w:t>sitting</w:t>
      </w:r>
    </w:p>
    <w:p w:rsidR="00E65E14" w:rsidRDefault="00E65E14" w:rsidP="00E65E14">
      <w:pPr>
        <w:pStyle w:val="Heading1"/>
        <w:spacing w:after="200" w:line="240" w:lineRule="auto"/>
        <w:ind w:right="-29" w:firstLine="567"/>
        <w:jc w:val="lowKashida"/>
        <w:rPr>
          <w:rFonts w:asciiTheme="majorBidi" w:eastAsia="Times New Roman" w:hAnsiTheme="majorBidi" w:cstheme="majorBidi"/>
          <w:color w:val="auto"/>
          <w:sz w:val="24"/>
          <w:szCs w:val="24"/>
        </w:rPr>
      </w:pPr>
      <w:bookmarkStart w:id="1" w:name="Inclusion_criteria"/>
      <w:bookmarkEnd w:id="1"/>
      <w:r w:rsidRPr="00E65E14">
        <w:rPr>
          <w:rFonts w:asciiTheme="majorBidi" w:eastAsia="Times New Roman" w:hAnsiTheme="majorBidi" w:cstheme="majorBidi"/>
          <w:color w:val="auto"/>
          <w:sz w:val="24"/>
          <w:szCs w:val="24"/>
        </w:rPr>
        <w:t xml:space="preserve">This was a cross-sectional, hospital-based study done over a 12-month period from August 2023 to July 2024.  Patients were recruited from individuals visiting the outpatient clinics and inpatient departments of Internal Medicine, Surgery, Neurology, and Cardiology, in addition to the Coronary Care Unit (CCU) and Intensive Care Unit (ICU) at </w:t>
      </w:r>
      <w:proofErr w:type="spellStart"/>
      <w:r w:rsidRPr="00E65E14">
        <w:rPr>
          <w:rFonts w:asciiTheme="majorBidi" w:eastAsia="Times New Roman" w:hAnsiTheme="majorBidi" w:cstheme="majorBidi"/>
          <w:color w:val="auto"/>
          <w:sz w:val="24"/>
          <w:szCs w:val="24"/>
        </w:rPr>
        <w:t>Benha</w:t>
      </w:r>
      <w:proofErr w:type="spellEnd"/>
      <w:r w:rsidRPr="00E65E14">
        <w:rPr>
          <w:rFonts w:asciiTheme="majorBidi" w:eastAsia="Times New Roman" w:hAnsiTheme="majorBidi" w:cstheme="majorBidi"/>
          <w:color w:val="auto"/>
          <w:sz w:val="24"/>
          <w:szCs w:val="24"/>
        </w:rPr>
        <w:t xml:space="preserve"> University Hospital.  All individuals with verified atherosclerotic cardiovascular illnesses were incorporated into the study.</w:t>
      </w:r>
    </w:p>
    <w:p w:rsidR="00A67477" w:rsidRPr="00A67477" w:rsidRDefault="00E65E14" w:rsidP="00A67477">
      <w:pPr>
        <w:pStyle w:val="Heading1"/>
        <w:spacing w:after="200" w:line="240" w:lineRule="auto"/>
        <w:ind w:right="-29"/>
        <w:jc w:val="lowKashida"/>
        <w:rPr>
          <w:rFonts w:asciiTheme="majorBidi" w:hAnsiTheme="majorBidi" w:cstheme="majorBidi"/>
          <w:b/>
          <w:bCs/>
          <w:color w:val="auto"/>
          <w:sz w:val="24"/>
          <w:szCs w:val="24"/>
        </w:rPr>
      </w:pPr>
      <w:r>
        <w:rPr>
          <w:rFonts w:asciiTheme="majorBidi" w:hAnsiTheme="majorBidi" w:cstheme="majorBidi"/>
          <w:b/>
          <w:bCs/>
          <w:color w:val="auto"/>
          <w:sz w:val="24"/>
          <w:szCs w:val="24"/>
        </w:rPr>
        <w:t xml:space="preserve">Population </w:t>
      </w:r>
    </w:p>
    <w:p w:rsidR="00A67477" w:rsidRPr="00A67477" w:rsidRDefault="00A67477" w:rsidP="00E65E14">
      <w:pPr>
        <w:pStyle w:val="BodyText"/>
        <w:spacing w:before="240" w:after="200"/>
        <w:ind w:right="-29" w:firstLine="425"/>
        <w:jc w:val="lowKashida"/>
        <w:rPr>
          <w:rFonts w:asciiTheme="majorBidi" w:hAnsiTheme="majorBidi" w:cstheme="majorBidi"/>
          <w:sz w:val="24"/>
          <w:szCs w:val="24"/>
        </w:rPr>
      </w:pPr>
      <w:r w:rsidRPr="00A67477">
        <w:rPr>
          <w:rFonts w:asciiTheme="majorBidi" w:hAnsiTheme="majorBidi" w:cstheme="majorBidi"/>
          <w:sz w:val="24"/>
          <w:szCs w:val="24"/>
        </w:rPr>
        <w:t>We included participants who were 18 years or older and had a documented diagnosis of atherosclerotic cardiovascular disease.</w:t>
      </w:r>
      <w:r w:rsidR="00E65E14">
        <w:rPr>
          <w:rFonts w:asciiTheme="majorBidi" w:hAnsiTheme="majorBidi" w:cstheme="majorBidi"/>
          <w:sz w:val="24"/>
          <w:szCs w:val="24"/>
        </w:rPr>
        <w:t xml:space="preserve"> </w:t>
      </w:r>
      <w:r w:rsidRPr="00A67477">
        <w:rPr>
          <w:rFonts w:asciiTheme="majorBidi" w:hAnsiTheme="majorBidi" w:cstheme="majorBidi"/>
          <w:sz w:val="24"/>
          <w:szCs w:val="24"/>
        </w:rPr>
        <w:t>Patients diagnosed with acute coronary syndrome (ACS), including ST-segment</w:t>
      </w:r>
      <w:r w:rsidRPr="00A67477">
        <w:rPr>
          <w:rFonts w:asciiTheme="majorBidi" w:hAnsiTheme="majorBidi" w:cstheme="majorBidi"/>
          <w:spacing w:val="37"/>
          <w:sz w:val="24"/>
          <w:szCs w:val="24"/>
        </w:rPr>
        <w:t xml:space="preserve"> </w:t>
      </w:r>
      <w:r w:rsidRPr="00A67477">
        <w:rPr>
          <w:rFonts w:asciiTheme="majorBidi" w:hAnsiTheme="majorBidi" w:cstheme="majorBidi"/>
          <w:sz w:val="24"/>
          <w:szCs w:val="24"/>
        </w:rPr>
        <w:t>elevation</w:t>
      </w:r>
      <w:r w:rsidRPr="00A67477">
        <w:rPr>
          <w:rFonts w:asciiTheme="majorBidi" w:hAnsiTheme="majorBidi" w:cstheme="majorBidi"/>
          <w:spacing w:val="33"/>
          <w:sz w:val="24"/>
          <w:szCs w:val="24"/>
        </w:rPr>
        <w:t xml:space="preserve"> </w:t>
      </w:r>
      <w:r w:rsidRPr="00A67477">
        <w:rPr>
          <w:rFonts w:asciiTheme="majorBidi" w:hAnsiTheme="majorBidi" w:cstheme="majorBidi"/>
          <w:sz w:val="24"/>
          <w:szCs w:val="24"/>
        </w:rPr>
        <w:t>myocardial</w:t>
      </w:r>
      <w:r w:rsidRPr="00A67477">
        <w:rPr>
          <w:rFonts w:asciiTheme="majorBidi" w:hAnsiTheme="majorBidi" w:cstheme="majorBidi"/>
          <w:spacing w:val="40"/>
          <w:sz w:val="24"/>
          <w:szCs w:val="24"/>
        </w:rPr>
        <w:t xml:space="preserve"> </w:t>
      </w:r>
      <w:r w:rsidRPr="00A67477">
        <w:rPr>
          <w:rFonts w:asciiTheme="majorBidi" w:hAnsiTheme="majorBidi" w:cstheme="majorBidi"/>
          <w:sz w:val="24"/>
          <w:szCs w:val="24"/>
        </w:rPr>
        <w:t>infarction</w:t>
      </w:r>
      <w:r w:rsidRPr="00A67477">
        <w:rPr>
          <w:rFonts w:asciiTheme="majorBidi" w:hAnsiTheme="majorBidi" w:cstheme="majorBidi"/>
          <w:spacing w:val="32"/>
          <w:sz w:val="24"/>
          <w:szCs w:val="24"/>
        </w:rPr>
        <w:t xml:space="preserve"> </w:t>
      </w:r>
      <w:r w:rsidRPr="00A67477">
        <w:rPr>
          <w:rFonts w:asciiTheme="majorBidi" w:hAnsiTheme="majorBidi" w:cstheme="majorBidi"/>
          <w:sz w:val="24"/>
          <w:szCs w:val="24"/>
        </w:rPr>
        <w:t>(STEMI),</w:t>
      </w:r>
      <w:r w:rsidRPr="00A67477">
        <w:rPr>
          <w:rFonts w:asciiTheme="majorBidi" w:hAnsiTheme="majorBidi" w:cstheme="majorBidi"/>
          <w:spacing w:val="43"/>
          <w:sz w:val="24"/>
          <w:szCs w:val="24"/>
        </w:rPr>
        <w:t xml:space="preserve"> </w:t>
      </w:r>
      <w:r w:rsidRPr="00A67477">
        <w:rPr>
          <w:rFonts w:asciiTheme="majorBidi" w:hAnsiTheme="majorBidi" w:cstheme="majorBidi"/>
          <w:sz w:val="24"/>
          <w:szCs w:val="24"/>
        </w:rPr>
        <w:t>non-ST</w:t>
      </w:r>
      <w:r w:rsidRPr="00A67477">
        <w:rPr>
          <w:rFonts w:asciiTheme="majorBidi" w:hAnsiTheme="majorBidi" w:cstheme="majorBidi"/>
          <w:spacing w:val="51"/>
          <w:sz w:val="24"/>
          <w:szCs w:val="24"/>
        </w:rPr>
        <w:t xml:space="preserve"> </w:t>
      </w:r>
      <w:r w:rsidRPr="00A67477">
        <w:rPr>
          <w:rFonts w:asciiTheme="majorBidi" w:hAnsiTheme="majorBidi" w:cstheme="majorBidi"/>
          <w:spacing w:val="-2"/>
          <w:sz w:val="24"/>
          <w:szCs w:val="24"/>
        </w:rPr>
        <w:t>segment</w:t>
      </w:r>
      <w:r w:rsidRPr="00A67477">
        <w:rPr>
          <w:rFonts w:asciiTheme="majorBidi" w:hAnsiTheme="majorBidi" w:cstheme="majorBidi"/>
          <w:sz w:val="24"/>
          <w:szCs w:val="24"/>
          <w:rtl/>
          <w:lang w:bidi="ar-EG"/>
        </w:rPr>
        <w:t xml:space="preserve"> </w:t>
      </w:r>
      <w:r w:rsidRPr="00A67477">
        <w:rPr>
          <w:rFonts w:asciiTheme="majorBidi" w:hAnsiTheme="majorBidi" w:cstheme="majorBidi"/>
          <w:sz w:val="24"/>
          <w:szCs w:val="24"/>
        </w:rPr>
        <w:t>elevation</w:t>
      </w:r>
      <w:r w:rsidRPr="00A67477">
        <w:rPr>
          <w:rFonts w:asciiTheme="majorBidi" w:hAnsiTheme="majorBidi" w:cstheme="majorBidi"/>
          <w:spacing w:val="-25"/>
          <w:sz w:val="24"/>
          <w:szCs w:val="24"/>
        </w:rPr>
        <w:t xml:space="preserve"> </w:t>
      </w:r>
      <w:r w:rsidRPr="00A67477">
        <w:rPr>
          <w:rFonts w:asciiTheme="majorBidi" w:hAnsiTheme="majorBidi" w:cstheme="majorBidi"/>
          <w:sz w:val="24"/>
          <w:szCs w:val="24"/>
        </w:rPr>
        <w:t>myocardial</w:t>
      </w:r>
      <w:r w:rsidRPr="00A67477">
        <w:rPr>
          <w:rFonts w:asciiTheme="majorBidi" w:hAnsiTheme="majorBidi" w:cstheme="majorBidi"/>
          <w:spacing w:val="-24"/>
          <w:sz w:val="24"/>
          <w:szCs w:val="24"/>
        </w:rPr>
        <w:t xml:space="preserve"> </w:t>
      </w:r>
      <w:r w:rsidRPr="00A67477">
        <w:rPr>
          <w:rFonts w:asciiTheme="majorBidi" w:hAnsiTheme="majorBidi" w:cstheme="majorBidi"/>
          <w:sz w:val="24"/>
          <w:szCs w:val="24"/>
        </w:rPr>
        <w:t>infarction</w:t>
      </w:r>
      <w:r w:rsidRPr="00A67477">
        <w:rPr>
          <w:rFonts w:asciiTheme="majorBidi" w:hAnsiTheme="majorBidi" w:cstheme="majorBidi"/>
          <w:spacing w:val="-21"/>
          <w:sz w:val="24"/>
          <w:szCs w:val="24"/>
        </w:rPr>
        <w:t xml:space="preserve"> </w:t>
      </w:r>
      <w:r w:rsidRPr="00A67477">
        <w:rPr>
          <w:rFonts w:asciiTheme="majorBidi" w:hAnsiTheme="majorBidi" w:cstheme="majorBidi"/>
          <w:sz w:val="24"/>
          <w:szCs w:val="24"/>
        </w:rPr>
        <w:t>(NSTEMI),</w:t>
      </w:r>
      <w:r w:rsidRPr="00A67477">
        <w:rPr>
          <w:rFonts w:asciiTheme="majorBidi" w:hAnsiTheme="majorBidi" w:cstheme="majorBidi"/>
          <w:spacing w:val="-19"/>
          <w:sz w:val="24"/>
          <w:szCs w:val="24"/>
        </w:rPr>
        <w:t xml:space="preserve"> </w:t>
      </w:r>
      <w:r w:rsidRPr="00A67477">
        <w:rPr>
          <w:rFonts w:asciiTheme="majorBidi" w:hAnsiTheme="majorBidi" w:cstheme="majorBidi"/>
          <w:sz w:val="24"/>
          <w:szCs w:val="24"/>
        </w:rPr>
        <w:t>or</w:t>
      </w:r>
      <w:r w:rsidRPr="00A67477">
        <w:rPr>
          <w:rFonts w:asciiTheme="majorBidi" w:hAnsiTheme="majorBidi" w:cstheme="majorBidi"/>
          <w:spacing w:val="-15"/>
          <w:sz w:val="24"/>
          <w:szCs w:val="24"/>
        </w:rPr>
        <w:t xml:space="preserve"> </w:t>
      </w:r>
      <w:r w:rsidRPr="00A67477">
        <w:rPr>
          <w:rFonts w:asciiTheme="majorBidi" w:hAnsiTheme="majorBidi" w:cstheme="majorBidi"/>
          <w:sz w:val="24"/>
          <w:szCs w:val="24"/>
        </w:rPr>
        <w:t>unstable</w:t>
      </w:r>
      <w:r w:rsidRPr="00A67477">
        <w:rPr>
          <w:rFonts w:asciiTheme="majorBidi" w:hAnsiTheme="majorBidi" w:cstheme="majorBidi"/>
          <w:spacing w:val="-19"/>
          <w:sz w:val="24"/>
          <w:szCs w:val="24"/>
        </w:rPr>
        <w:t xml:space="preserve"> </w:t>
      </w:r>
      <w:r w:rsidRPr="00A67477">
        <w:rPr>
          <w:rFonts w:asciiTheme="majorBidi" w:hAnsiTheme="majorBidi" w:cstheme="majorBidi"/>
          <w:sz w:val="24"/>
          <w:szCs w:val="24"/>
        </w:rPr>
        <w:t>angina</w:t>
      </w:r>
      <w:r w:rsidRPr="00A67477">
        <w:rPr>
          <w:rFonts w:asciiTheme="majorBidi" w:hAnsiTheme="majorBidi" w:cstheme="majorBidi"/>
          <w:spacing w:val="-16"/>
          <w:sz w:val="24"/>
          <w:szCs w:val="24"/>
        </w:rPr>
        <w:t xml:space="preserve"> </w:t>
      </w:r>
      <w:r w:rsidRPr="00A67477">
        <w:rPr>
          <w:rFonts w:asciiTheme="majorBidi" w:hAnsiTheme="majorBidi" w:cstheme="majorBidi"/>
          <w:sz w:val="24"/>
          <w:szCs w:val="24"/>
        </w:rPr>
        <w:t>(UA),</w:t>
      </w:r>
      <w:r w:rsidRPr="00A67477">
        <w:rPr>
          <w:rFonts w:asciiTheme="majorBidi" w:hAnsiTheme="majorBidi" w:cstheme="majorBidi"/>
          <w:spacing w:val="-17"/>
          <w:sz w:val="24"/>
          <w:szCs w:val="24"/>
        </w:rPr>
        <w:t xml:space="preserve"> </w:t>
      </w:r>
      <w:r w:rsidRPr="00A67477">
        <w:rPr>
          <w:rFonts w:asciiTheme="majorBidi" w:hAnsiTheme="majorBidi" w:cstheme="majorBidi"/>
          <w:sz w:val="24"/>
          <w:szCs w:val="24"/>
        </w:rPr>
        <w:t>were also eligible.</w:t>
      </w:r>
    </w:p>
    <w:p w:rsidR="00A61599" w:rsidRPr="00A61599" w:rsidRDefault="00A61599" w:rsidP="00A61599">
      <w:pPr>
        <w:spacing w:after="0" w:line="240" w:lineRule="auto"/>
        <w:jc w:val="lowKashida"/>
        <w:rPr>
          <w:rFonts w:ascii="Times New Roman" w:eastAsia="Times New Roman" w:hAnsi="Times New Roman" w:cs="Times New Roman"/>
          <w:b/>
          <w:bCs/>
          <w:sz w:val="24"/>
          <w:szCs w:val="24"/>
        </w:rPr>
      </w:pPr>
      <w:bookmarkStart w:id="2" w:name="Clinical_presentation_and_type_of_athero"/>
      <w:bookmarkEnd w:id="2"/>
      <w:r w:rsidRPr="00A61599">
        <w:rPr>
          <w:rFonts w:ascii="Times New Roman" w:eastAsia="Times New Roman" w:hAnsi="Times New Roman" w:cs="Times New Roman"/>
          <w:b/>
          <w:bCs/>
          <w:sz w:val="24"/>
          <w:szCs w:val="24"/>
        </w:rPr>
        <w:t xml:space="preserve">Clinical manifestation and classification of atherosclerotic cardiovascular disease </w:t>
      </w:r>
    </w:p>
    <w:p w:rsidR="00BC0FFE" w:rsidRPr="00413EFD" w:rsidRDefault="00413EFD" w:rsidP="00A343CA">
      <w:pPr>
        <w:spacing w:after="0" w:line="240" w:lineRule="auto"/>
        <w:ind w:firstLine="567"/>
        <w:jc w:val="lowKashida"/>
        <w:rPr>
          <w:rFonts w:ascii="Times New Roman" w:eastAsia="Times New Roman" w:hAnsi="Times New Roman" w:cs="Times New Roman"/>
          <w:b/>
          <w:bCs/>
          <w:sz w:val="24"/>
          <w:szCs w:val="24"/>
        </w:rPr>
      </w:pPr>
      <w:r w:rsidRPr="00A343CA">
        <w:rPr>
          <w:rFonts w:ascii="Times New Roman" w:eastAsia="Times New Roman" w:hAnsi="Times New Roman" w:cs="Times New Roman"/>
          <w:sz w:val="24"/>
          <w:szCs w:val="24"/>
        </w:rPr>
        <w:t>Coronary Artery Disease (CAD)</w:t>
      </w:r>
      <w:r>
        <w:rPr>
          <w:rFonts w:ascii="Times New Roman" w:eastAsia="Times New Roman" w:hAnsi="Times New Roman" w:cs="Times New Roman"/>
          <w:b/>
          <w:bCs/>
          <w:sz w:val="24"/>
          <w:szCs w:val="24"/>
        </w:rPr>
        <w:t xml:space="preserve"> </w:t>
      </w:r>
      <w:r w:rsidR="00A61599" w:rsidRPr="00A61599">
        <w:rPr>
          <w:rFonts w:ascii="Times New Roman" w:eastAsia="Times New Roman" w:hAnsi="Times New Roman" w:cs="Times New Roman"/>
          <w:sz w:val="24"/>
          <w:szCs w:val="24"/>
        </w:rPr>
        <w:t xml:space="preserve">Patients exhibiting symptoms including chest discomfort, angina, myocardial infarction, or a history of coronary </w:t>
      </w:r>
      <w:proofErr w:type="spellStart"/>
      <w:r w:rsidR="00A61599" w:rsidRPr="00A61599">
        <w:rPr>
          <w:rFonts w:ascii="Times New Roman" w:eastAsia="Times New Roman" w:hAnsi="Times New Roman" w:cs="Times New Roman"/>
          <w:sz w:val="24"/>
          <w:szCs w:val="24"/>
        </w:rPr>
        <w:t>revascularisation</w:t>
      </w:r>
      <w:proofErr w:type="spellEnd"/>
      <w:r w:rsidR="00A61599" w:rsidRPr="00A61599">
        <w:rPr>
          <w:rFonts w:ascii="Times New Roman" w:eastAsia="Times New Roman" w:hAnsi="Times New Roman" w:cs="Times New Roman"/>
          <w:sz w:val="24"/>
          <w:szCs w:val="24"/>
        </w:rPr>
        <w:t xml:space="preserve"> treatments (e.g., percutaneous coronary intervention or coronary artery bypass grafting) were </w:t>
      </w:r>
      <w:proofErr w:type="spellStart"/>
      <w:r w:rsidR="00A61599" w:rsidRPr="00A61599">
        <w:rPr>
          <w:rFonts w:ascii="Times New Roman" w:eastAsia="Times New Roman" w:hAnsi="Times New Roman" w:cs="Times New Roman"/>
          <w:sz w:val="24"/>
          <w:szCs w:val="24"/>
        </w:rPr>
        <w:t>categorised</w:t>
      </w:r>
      <w:proofErr w:type="spellEnd"/>
      <w:r w:rsidR="00A61599" w:rsidRPr="00A61599">
        <w:rPr>
          <w:rFonts w:ascii="Times New Roman" w:eastAsia="Times New Roman" w:hAnsi="Times New Roman" w:cs="Times New Roman"/>
          <w:sz w:val="24"/>
          <w:szCs w:val="24"/>
        </w:rPr>
        <w:t xml:space="preserve"> as having coronary artery dis</w:t>
      </w:r>
      <w:r w:rsidR="00BC0FFE">
        <w:rPr>
          <w:rFonts w:ascii="Times New Roman" w:eastAsia="Times New Roman" w:hAnsi="Times New Roman" w:cs="Times New Roman"/>
          <w:sz w:val="24"/>
          <w:szCs w:val="24"/>
        </w:rPr>
        <w:t xml:space="preserve">ease. </w:t>
      </w:r>
    </w:p>
    <w:p w:rsidR="003577DD" w:rsidRDefault="00BC0FFE" w:rsidP="00BC0FFE">
      <w:pPr>
        <w:spacing w:after="0" w:line="240" w:lineRule="auto"/>
        <w:ind w:firstLine="567"/>
        <w:jc w:val="lowKashid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Cerebrovascular disease </w:t>
      </w:r>
      <w:r w:rsidR="00A61599" w:rsidRPr="00A61599">
        <w:rPr>
          <w:rFonts w:ascii="Times New Roman" w:eastAsia="Times New Roman" w:hAnsi="Times New Roman" w:cs="Times New Roman"/>
          <w:sz w:val="24"/>
          <w:szCs w:val="24"/>
        </w:rPr>
        <w:t xml:space="preserve">encompassed patients who had suffered </w:t>
      </w:r>
      <w:proofErr w:type="spellStart"/>
      <w:r w:rsidR="00A61599" w:rsidRPr="00A61599">
        <w:rPr>
          <w:rFonts w:ascii="Times New Roman" w:eastAsia="Times New Roman" w:hAnsi="Times New Roman" w:cs="Times New Roman"/>
          <w:sz w:val="24"/>
          <w:szCs w:val="24"/>
        </w:rPr>
        <w:t>ischaemic</w:t>
      </w:r>
      <w:proofErr w:type="spellEnd"/>
      <w:r w:rsidR="00A61599" w:rsidRPr="00A61599">
        <w:rPr>
          <w:rFonts w:ascii="Times New Roman" w:eastAsia="Times New Roman" w:hAnsi="Times New Roman" w:cs="Times New Roman"/>
          <w:sz w:val="24"/>
          <w:szCs w:val="24"/>
        </w:rPr>
        <w:t xml:space="preserve"> stroke or transient </w:t>
      </w:r>
      <w:proofErr w:type="spellStart"/>
      <w:r w:rsidR="00A61599" w:rsidRPr="00A61599">
        <w:rPr>
          <w:rFonts w:ascii="Times New Roman" w:eastAsia="Times New Roman" w:hAnsi="Times New Roman" w:cs="Times New Roman"/>
          <w:sz w:val="24"/>
          <w:szCs w:val="24"/>
        </w:rPr>
        <w:t>ischaemic</w:t>
      </w:r>
      <w:proofErr w:type="spellEnd"/>
      <w:r w:rsidR="00A61599" w:rsidRPr="00A61599">
        <w:rPr>
          <w:rFonts w:ascii="Times New Roman" w:eastAsia="Times New Roman" w:hAnsi="Times New Roman" w:cs="Times New Roman"/>
          <w:sz w:val="24"/>
          <w:szCs w:val="24"/>
        </w:rPr>
        <w:t xml:space="preserve"> attacks (TIAs), validated through clinical evaluation and neuroimaging examinations. This group also included patients with carotid artery disease or a history of cerebrovascular int</w:t>
      </w:r>
      <w:r w:rsidR="003577DD">
        <w:rPr>
          <w:rFonts w:ascii="Times New Roman" w:eastAsia="Times New Roman" w:hAnsi="Times New Roman" w:cs="Times New Roman"/>
          <w:sz w:val="24"/>
          <w:szCs w:val="24"/>
        </w:rPr>
        <w:t>ervention.</w:t>
      </w:r>
    </w:p>
    <w:p w:rsidR="003577DD" w:rsidRDefault="00A61599" w:rsidP="003577DD">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t xml:space="preserve">Peripheral arterial disease (PAD) Patients exhibiting intermittent claudication, rest discomfort, or possessing a history of peripheral artery </w:t>
      </w:r>
      <w:proofErr w:type="spellStart"/>
      <w:r w:rsidRPr="00A61599">
        <w:rPr>
          <w:rFonts w:ascii="Times New Roman" w:eastAsia="Times New Roman" w:hAnsi="Times New Roman" w:cs="Times New Roman"/>
          <w:sz w:val="24"/>
          <w:szCs w:val="24"/>
        </w:rPr>
        <w:t>revascularisation</w:t>
      </w:r>
      <w:proofErr w:type="spellEnd"/>
      <w:r w:rsidRPr="00A61599">
        <w:rPr>
          <w:rFonts w:ascii="Times New Roman" w:eastAsia="Times New Roman" w:hAnsi="Times New Roman" w:cs="Times New Roman"/>
          <w:sz w:val="24"/>
          <w:szCs w:val="24"/>
        </w:rPr>
        <w:t xml:space="preserve"> or amputation attributable to </w:t>
      </w:r>
      <w:proofErr w:type="spellStart"/>
      <w:r w:rsidRPr="00A61599">
        <w:rPr>
          <w:rFonts w:ascii="Times New Roman" w:eastAsia="Times New Roman" w:hAnsi="Times New Roman" w:cs="Times New Roman"/>
          <w:sz w:val="24"/>
          <w:szCs w:val="24"/>
        </w:rPr>
        <w:t>ischaemia</w:t>
      </w:r>
      <w:proofErr w:type="spellEnd"/>
      <w:r w:rsidRPr="00A61599">
        <w:rPr>
          <w:rFonts w:ascii="Times New Roman" w:eastAsia="Times New Roman" w:hAnsi="Times New Roman" w:cs="Times New Roman"/>
          <w:sz w:val="24"/>
          <w:szCs w:val="24"/>
        </w:rPr>
        <w:t xml:space="preserve"> were classified as having PAD. The diagnosis was corroborated by clinical manifestations and, when accessible, Doppler investiga</w:t>
      </w:r>
      <w:r w:rsidR="003577DD">
        <w:rPr>
          <w:rFonts w:ascii="Times New Roman" w:eastAsia="Times New Roman" w:hAnsi="Times New Roman" w:cs="Times New Roman"/>
          <w:sz w:val="24"/>
          <w:szCs w:val="24"/>
        </w:rPr>
        <w:t xml:space="preserve">tions or angiographic results. </w:t>
      </w:r>
    </w:p>
    <w:p w:rsidR="00413EFD" w:rsidRDefault="00A61599" w:rsidP="00413EFD">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t>The research examined both non-modifiable and modifiable risk fac</w:t>
      </w:r>
      <w:r w:rsidR="003577DD">
        <w:rPr>
          <w:rFonts w:ascii="Times New Roman" w:eastAsia="Times New Roman" w:hAnsi="Times New Roman" w:cs="Times New Roman"/>
          <w:sz w:val="24"/>
          <w:szCs w:val="24"/>
        </w:rPr>
        <w:t>tors linked to atherosclerosis such as non-modifiable risk factors (</w:t>
      </w:r>
      <w:r w:rsidRPr="00A61599">
        <w:rPr>
          <w:rFonts w:ascii="Times New Roman" w:eastAsia="Times New Roman" w:hAnsi="Times New Roman" w:cs="Times New Roman"/>
          <w:sz w:val="24"/>
          <w:szCs w:val="24"/>
        </w:rPr>
        <w:t>Age</w:t>
      </w:r>
      <w:r w:rsidR="003577DD">
        <w:rPr>
          <w:rFonts w:ascii="Times New Roman" w:eastAsia="Times New Roman" w:hAnsi="Times New Roman" w:cs="Times New Roman"/>
          <w:sz w:val="24"/>
          <w:szCs w:val="24"/>
        </w:rPr>
        <w:t>, gender</w:t>
      </w:r>
      <w:r w:rsidR="00413EFD">
        <w:rPr>
          <w:rFonts w:ascii="Times New Roman" w:eastAsia="Times New Roman" w:hAnsi="Times New Roman" w:cs="Times New Roman"/>
          <w:sz w:val="24"/>
          <w:szCs w:val="24"/>
        </w:rPr>
        <w:t xml:space="preserve">, </w:t>
      </w:r>
      <w:r w:rsidRPr="00A61599">
        <w:rPr>
          <w:rFonts w:ascii="Times New Roman" w:eastAsia="Times New Roman" w:hAnsi="Times New Roman" w:cs="Times New Roman"/>
          <w:sz w:val="24"/>
          <w:szCs w:val="24"/>
        </w:rPr>
        <w:t>Family History</w:t>
      </w:r>
      <w:r w:rsidR="00413EFD">
        <w:rPr>
          <w:rFonts w:ascii="Times New Roman" w:eastAsia="Times New Roman" w:hAnsi="Times New Roman" w:cs="Times New Roman"/>
          <w:sz w:val="24"/>
          <w:szCs w:val="24"/>
        </w:rPr>
        <w:t xml:space="preserve">). Alterable risk factors (Hypertension (HTN), Diabetes Mellitus (DM), </w:t>
      </w:r>
      <w:proofErr w:type="spellStart"/>
      <w:r w:rsidR="00413EFD">
        <w:rPr>
          <w:rFonts w:ascii="Times New Roman" w:eastAsia="Times New Roman" w:hAnsi="Times New Roman" w:cs="Times New Roman"/>
          <w:sz w:val="24"/>
          <w:szCs w:val="24"/>
        </w:rPr>
        <w:t>Dyslipidaemia</w:t>
      </w:r>
      <w:proofErr w:type="spellEnd"/>
      <w:r w:rsidR="00413EFD">
        <w:rPr>
          <w:rFonts w:ascii="Times New Roman" w:eastAsia="Times New Roman" w:hAnsi="Times New Roman" w:cs="Times New Roman"/>
          <w:sz w:val="24"/>
          <w:szCs w:val="24"/>
        </w:rPr>
        <w:t xml:space="preserve">, </w:t>
      </w:r>
      <w:r w:rsidRPr="00A61599">
        <w:rPr>
          <w:rFonts w:ascii="Times New Roman" w:eastAsia="Times New Roman" w:hAnsi="Times New Roman" w:cs="Times New Roman"/>
          <w:sz w:val="24"/>
          <w:szCs w:val="24"/>
        </w:rPr>
        <w:t>Smo</w:t>
      </w:r>
      <w:r w:rsidR="00413EFD">
        <w:rPr>
          <w:rFonts w:ascii="Times New Roman" w:eastAsia="Times New Roman" w:hAnsi="Times New Roman" w:cs="Times New Roman"/>
          <w:sz w:val="24"/>
          <w:szCs w:val="24"/>
        </w:rPr>
        <w:t>king, Sedentary Lifestyle, Alcohol Consumption, Overweight).</w:t>
      </w:r>
    </w:p>
    <w:p w:rsidR="00A343CA" w:rsidRPr="00A343CA" w:rsidRDefault="00A61599" w:rsidP="00A343CA">
      <w:pPr>
        <w:spacing w:after="0" w:line="240" w:lineRule="auto"/>
        <w:jc w:val="lowKashida"/>
        <w:rPr>
          <w:rFonts w:ascii="Times New Roman" w:eastAsia="Times New Roman" w:hAnsi="Times New Roman" w:cs="Times New Roman"/>
          <w:b/>
          <w:bCs/>
          <w:sz w:val="24"/>
          <w:szCs w:val="24"/>
        </w:rPr>
      </w:pPr>
      <w:r w:rsidRPr="00A61599">
        <w:rPr>
          <w:rFonts w:ascii="Times New Roman" w:eastAsia="Times New Roman" w:hAnsi="Times New Roman" w:cs="Times New Roman"/>
          <w:b/>
          <w:bCs/>
          <w:sz w:val="24"/>
          <w:szCs w:val="24"/>
        </w:rPr>
        <w:t>Cardiac</w:t>
      </w:r>
      <w:r w:rsidR="00A343CA" w:rsidRPr="00A343CA">
        <w:rPr>
          <w:rFonts w:ascii="Times New Roman" w:eastAsia="Times New Roman" w:hAnsi="Times New Roman" w:cs="Times New Roman"/>
          <w:b/>
          <w:bCs/>
          <w:sz w:val="24"/>
          <w:szCs w:val="24"/>
        </w:rPr>
        <w:t xml:space="preserve"> assessments and terminologies </w:t>
      </w:r>
    </w:p>
    <w:p w:rsidR="00804574" w:rsidRDefault="00A61599" w:rsidP="00413EFD">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t xml:space="preserve">All patients had a 12-lead ECG, </w:t>
      </w:r>
      <w:proofErr w:type="spellStart"/>
      <w:r w:rsidRPr="00A61599">
        <w:rPr>
          <w:rFonts w:ascii="Times New Roman" w:eastAsia="Times New Roman" w:hAnsi="Times New Roman" w:cs="Times New Roman"/>
          <w:sz w:val="24"/>
          <w:szCs w:val="24"/>
        </w:rPr>
        <w:t>analysed</w:t>
      </w:r>
      <w:proofErr w:type="spellEnd"/>
      <w:r w:rsidRPr="00A61599">
        <w:rPr>
          <w:rFonts w:ascii="Times New Roman" w:eastAsia="Times New Roman" w:hAnsi="Times New Roman" w:cs="Times New Roman"/>
          <w:sz w:val="24"/>
          <w:szCs w:val="24"/>
        </w:rPr>
        <w:t xml:space="preserve"> by a cardiologist. Coronary angiography was conducted as warranted, with obstructive coronary artery disease defined as</w:t>
      </w:r>
      <w:r w:rsidR="00804574">
        <w:rPr>
          <w:rFonts w:ascii="Times New Roman" w:eastAsia="Times New Roman" w:hAnsi="Times New Roman" w:cs="Times New Roman"/>
          <w:sz w:val="24"/>
          <w:szCs w:val="24"/>
        </w:rPr>
        <w:t xml:space="preserve"> a diameter stenosis of ≥ 50%.  </w:t>
      </w:r>
      <w:r w:rsidRPr="00A61599">
        <w:rPr>
          <w:rFonts w:ascii="Times New Roman" w:eastAsia="Times New Roman" w:hAnsi="Times New Roman" w:cs="Times New Roman"/>
          <w:sz w:val="24"/>
          <w:szCs w:val="24"/>
        </w:rPr>
        <w:t xml:space="preserve">An early invasive method is </w:t>
      </w:r>
      <w:proofErr w:type="spellStart"/>
      <w:r w:rsidRPr="00A61599">
        <w:rPr>
          <w:rFonts w:ascii="Times New Roman" w:eastAsia="Times New Roman" w:hAnsi="Times New Roman" w:cs="Times New Roman"/>
          <w:sz w:val="24"/>
          <w:szCs w:val="24"/>
        </w:rPr>
        <w:t>characterised</w:t>
      </w:r>
      <w:proofErr w:type="spellEnd"/>
      <w:r w:rsidRPr="00A61599">
        <w:rPr>
          <w:rFonts w:ascii="Times New Roman" w:eastAsia="Times New Roman" w:hAnsi="Times New Roman" w:cs="Times New Roman"/>
          <w:sz w:val="24"/>
          <w:szCs w:val="24"/>
        </w:rPr>
        <w:t xml:space="preserve"> by coronary angiography accompanied by potential intervention within 24 hours after presentation. Cardiac interventions prior to and during </w:t>
      </w:r>
      <w:proofErr w:type="spellStart"/>
      <w:r w:rsidRPr="00A61599">
        <w:rPr>
          <w:rFonts w:ascii="Times New Roman" w:eastAsia="Times New Roman" w:hAnsi="Times New Roman" w:cs="Times New Roman"/>
          <w:sz w:val="24"/>
          <w:szCs w:val="24"/>
        </w:rPr>
        <w:t>hospitalisation</w:t>
      </w:r>
      <w:proofErr w:type="spellEnd"/>
      <w:r w:rsidRPr="00A61599">
        <w:rPr>
          <w:rFonts w:ascii="Times New Roman" w:eastAsia="Times New Roman" w:hAnsi="Times New Roman" w:cs="Times New Roman"/>
          <w:sz w:val="24"/>
          <w:szCs w:val="24"/>
        </w:rPr>
        <w:t>, including</w:t>
      </w:r>
      <w:r w:rsidR="00804574">
        <w:rPr>
          <w:rFonts w:ascii="Times New Roman" w:eastAsia="Times New Roman" w:hAnsi="Times New Roman" w:cs="Times New Roman"/>
          <w:sz w:val="24"/>
          <w:szCs w:val="24"/>
        </w:rPr>
        <w:t xml:space="preserve"> PCI or CABG, were documented. </w:t>
      </w:r>
    </w:p>
    <w:p w:rsidR="00804574" w:rsidRDefault="00804574" w:rsidP="00804574">
      <w:pPr>
        <w:spacing w:after="0" w:line="240" w:lineRule="auto"/>
        <w:ind w:firstLine="567"/>
        <w:jc w:val="lowKashid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Pharmacological evaluation; </w:t>
      </w:r>
      <w:r w:rsidR="00A61599" w:rsidRPr="00A61599">
        <w:rPr>
          <w:rFonts w:ascii="Times New Roman" w:eastAsia="Times New Roman" w:hAnsi="Times New Roman" w:cs="Times New Roman"/>
          <w:sz w:val="24"/>
          <w:szCs w:val="24"/>
        </w:rPr>
        <w:t xml:space="preserve">Medication consumption </w:t>
      </w:r>
      <w:r>
        <w:rPr>
          <w:rFonts w:ascii="Times New Roman" w:eastAsia="Times New Roman" w:hAnsi="Times New Roman" w:cs="Times New Roman"/>
          <w:sz w:val="24"/>
          <w:szCs w:val="24"/>
        </w:rPr>
        <w:t xml:space="preserve">was recorded at two intervals. </w:t>
      </w:r>
      <w:r w:rsidR="00A61599" w:rsidRPr="00A61599">
        <w:rPr>
          <w:rFonts w:ascii="Times New Roman" w:eastAsia="Times New Roman" w:hAnsi="Times New Roman" w:cs="Times New Roman"/>
          <w:sz w:val="24"/>
          <w:szCs w:val="24"/>
        </w:rPr>
        <w:t>Upon ad</w:t>
      </w:r>
      <w:r>
        <w:rPr>
          <w:rFonts w:ascii="Times New Roman" w:eastAsia="Times New Roman" w:hAnsi="Times New Roman" w:cs="Times New Roman"/>
          <w:sz w:val="24"/>
          <w:szCs w:val="24"/>
        </w:rPr>
        <w:t xml:space="preserve">mission (chronic medicines) and </w:t>
      </w:r>
      <w:r w:rsidR="00A61599" w:rsidRPr="00A61599">
        <w:rPr>
          <w:rFonts w:ascii="Times New Roman" w:eastAsia="Times New Roman" w:hAnsi="Times New Roman" w:cs="Times New Roman"/>
          <w:sz w:val="24"/>
          <w:szCs w:val="24"/>
        </w:rPr>
        <w:t>Upon discharge</w:t>
      </w:r>
      <w:r>
        <w:rPr>
          <w:rFonts w:ascii="Times New Roman" w:eastAsia="Times New Roman" w:hAnsi="Times New Roman" w:cs="Times New Roman"/>
          <w:sz w:val="24"/>
          <w:szCs w:val="24"/>
        </w:rPr>
        <w:t xml:space="preserve"> (in-hospital pharmacotherapy). </w:t>
      </w:r>
      <w:r w:rsidR="00A61599" w:rsidRPr="00A61599">
        <w:rPr>
          <w:rFonts w:ascii="Times New Roman" w:eastAsia="Times New Roman" w:hAnsi="Times New Roman" w:cs="Times New Roman"/>
          <w:sz w:val="24"/>
          <w:szCs w:val="24"/>
        </w:rPr>
        <w:t xml:space="preserve">The classes comprised anti-platelet medicines, statins, anti-ischemic medications, and therapy for heart failure. </w:t>
      </w:r>
      <w:r w:rsidR="00A61599" w:rsidRPr="00A61599">
        <w:rPr>
          <w:rFonts w:ascii="Times New Roman" w:eastAsia="Times New Roman" w:hAnsi="Times New Roman" w:cs="Times New Roman"/>
          <w:sz w:val="24"/>
          <w:szCs w:val="24"/>
        </w:rPr>
        <w:br/>
        <w:t xml:space="preserve">Treatment decisions were determined by the attending cardiologist at each </w:t>
      </w:r>
      <w:proofErr w:type="spellStart"/>
      <w:r w:rsidR="00A61599" w:rsidRPr="00A61599">
        <w:rPr>
          <w:rFonts w:ascii="Times New Roman" w:eastAsia="Times New Roman" w:hAnsi="Times New Roman" w:cs="Times New Roman"/>
          <w:sz w:val="24"/>
          <w:szCs w:val="24"/>
        </w:rPr>
        <w:t>centre</w:t>
      </w:r>
      <w:proofErr w:type="spellEnd"/>
      <w:r w:rsidR="00A61599" w:rsidRPr="00A61599">
        <w:rPr>
          <w:rFonts w:ascii="Times New Roman" w:eastAsia="Times New Roman" w:hAnsi="Times New Roman" w:cs="Times New Roman"/>
          <w:sz w:val="24"/>
          <w:szCs w:val="24"/>
        </w:rPr>
        <w:t xml:space="preserve">; the trial did not disrupt usual care protocols. </w:t>
      </w:r>
    </w:p>
    <w:p w:rsidR="00A343CA" w:rsidRPr="00804574" w:rsidRDefault="00A61599" w:rsidP="00804574">
      <w:pPr>
        <w:spacing w:after="0" w:line="240" w:lineRule="auto"/>
        <w:jc w:val="lowKashida"/>
        <w:rPr>
          <w:rFonts w:ascii="Times New Roman" w:eastAsia="Times New Roman" w:hAnsi="Times New Roman" w:cs="Times New Roman"/>
          <w:sz w:val="24"/>
          <w:szCs w:val="24"/>
        </w:rPr>
      </w:pPr>
      <w:r w:rsidRPr="00A61599">
        <w:rPr>
          <w:rFonts w:ascii="Times New Roman" w:eastAsia="Times New Roman" w:hAnsi="Times New Roman" w:cs="Times New Roman"/>
          <w:b/>
          <w:bCs/>
          <w:sz w:val="24"/>
          <w:szCs w:val="24"/>
        </w:rPr>
        <w:t>Data acquisition and quality ass</w:t>
      </w:r>
      <w:r w:rsidR="00A343CA" w:rsidRPr="00A343CA">
        <w:rPr>
          <w:rFonts w:ascii="Times New Roman" w:eastAsia="Times New Roman" w:hAnsi="Times New Roman" w:cs="Times New Roman"/>
          <w:b/>
          <w:bCs/>
          <w:sz w:val="24"/>
          <w:szCs w:val="24"/>
        </w:rPr>
        <w:t xml:space="preserve">urance </w:t>
      </w:r>
    </w:p>
    <w:p w:rsidR="00A343CA" w:rsidRDefault="00A61599" w:rsidP="00A343CA">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lastRenderedPageBreak/>
        <w:t xml:space="preserve">All data were inputted into an online case report form (CRF) </w:t>
      </w:r>
      <w:proofErr w:type="spellStart"/>
      <w:r w:rsidRPr="00A61599">
        <w:rPr>
          <w:rFonts w:ascii="Times New Roman" w:eastAsia="Times New Roman" w:hAnsi="Times New Roman" w:cs="Times New Roman"/>
          <w:sz w:val="24"/>
          <w:szCs w:val="24"/>
        </w:rPr>
        <w:t>utilising</w:t>
      </w:r>
      <w:proofErr w:type="spellEnd"/>
      <w:r w:rsidRPr="00A61599">
        <w:rPr>
          <w:rFonts w:ascii="Times New Roman" w:eastAsia="Times New Roman" w:hAnsi="Times New Roman" w:cs="Times New Roman"/>
          <w:sz w:val="24"/>
          <w:szCs w:val="24"/>
        </w:rPr>
        <w:t xml:space="preserve"> secure credentials. The lead investigators routinely checked and validated data entry to guarantee accuracy and consistency. Data were obtained with a </w:t>
      </w:r>
      <w:proofErr w:type="spellStart"/>
      <w:r w:rsidRPr="00A61599">
        <w:rPr>
          <w:rFonts w:ascii="Times New Roman" w:eastAsia="Times New Roman" w:hAnsi="Times New Roman" w:cs="Times New Roman"/>
          <w:sz w:val="24"/>
          <w:szCs w:val="24"/>
        </w:rPr>
        <w:t>standardised</w:t>
      </w:r>
      <w:proofErr w:type="spellEnd"/>
      <w:r w:rsidRPr="00A61599">
        <w:rPr>
          <w:rFonts w:ascii="Times New Roman" w:eastAsia="Times New Roman" w:hAnsi="Times New Roman" w:cs="Times New Roman"/>
          <w:sz w:val="24"/>
          <w:szCs w:val="24"/>
        </w:rPr>
        <w:t xml:space="preserve"> case report form during patient interviews and record inspecti</w:t>
      </w:r>
      <w:r w:rsidR="00A343CA">
        <w:rPr>
          <w:rFonts w:ascii="Times New Roman" w:eastAsia="Times New Roman" w:hAnsi="Times New Roman" w:cs="Times New Roman"/>
          <w:sz w:val="24"/>
          <w:szCs w:val="24"/>
        </w:rPr>
        <w:t>ons.</w:t>
      </w:r>
    </w:p>
    <w:p w:rsidR="00A343CA" w:rsidRPr="00A343CA" w:rsidRDefault="00A343CA" w:rsidP="00A343CA">
      <w:pPr>
        <w:spacing w:after="0" w:line="240" w:lineRule="auto"/>
        <w:jc w:val="lowKashida"/>
        <w:rPr>
          <w:rFonts w:ascii="Times New Roman" w:eastAsia="Times New Roman" w:hAnsi="Times New Roman" w:cs="Times New Roman"/>
          <w:b/>
          <w:bCs/>
          <w:sz w:val="24"/>
          <w:szCs w:val="24"/>
        </w:rPr>
      </w:pPr>
      <w:r w:rsidRPr="00A343CA">
        <w:rPr>
          <w:rFonts w:ascii="Times New Roman" w:eastAsia="Times New Roman" w:hAnsi="Times New Roman" w:cs="Times New Roman"/>
          <w:b/>
          <w:bCs/>
          <w:sz w:val="24"/>
          <w:szCs w:val="24"/>
        </w:rPr>
        <w:t xml:space="preserve">Ethical considerations </w:t>
      </w:r>
    </w:p>
    <w:p w:rsidR="00A343CA" w:rsidRDefault="00A61599" w:rsidP="00413EFD">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t xml:space="preserve">Informed consent was secured from all participants before to </w:t>
      </w:r>
      <w:r w:rsidR="00A343CA">
        <w:rPr>
          <w:rFonts w:ascii="Times New Roman" w:eastAsia="Times New Roman" w:hAnsi="Times New Roman" w:cs="Times New Roman"/>
          <w:sz w:val="24"/>
          <w:szCs w:val="24"/>
        </w:rPr>
        <w:t xml:space="preserve">their inclusion in the study. </w:t>
      </w:r>
      <w:r w:rsidRPr="00A61599">
        <w:rPr>
          <w:rFonts w:ascii="Times New Roman" w:eastAsia="Times New Roman" w:hAnsi="Times New Roman" w:cs="Times New Roman"/>
          <w:sz w:val="24"/>
          <w:szCs w:val="24"/>
        </w:rPr>
        <w:t xml:space="preserve">Approval was granted by the Research Ethics Committee of </w:t>
      </w:r>
      <w:proofErr w:type="spellStart"/>
      <w:r w:rsidRPr="00A61599">
        <w:rPr>
          <w:rFonts w:ascii="Times New Roman" w:eastAsia="Times New Roman" w:hAnsi="Times New Roman" w:cs="Times New Roman"/>
          <w:sz w:val="24"/>
          <w:szCs w:val="24"/>
        </w:rPr>
        <w:t>Benha</w:t>
      </w:r>
      <w:proofErr w:type="spellEnd"/>
      <w:r w:rsidRPr="00A61599">
        <w:rPr>
          <w:rFonts w:ascii="Times New Roman" w:eastAsia="Times New Roman" w:hAnsi="Times New Roman" w:cs="Times New Roman"/>
          <w:sz w:val="24"/>
          <w:szCs w:val="24"/>
        </w:rPr>
        <w:t xml:space="preserve"> Faculty of Medicine</w:t>
      </w:r>
      <w:r w:rsidR="00A343CA">
        <w:rPr>
          <w:rFonts w:ascii="Times New Roman" w:eastAsia="Times New Roman" w:hAnsi="Times New Roman" w:cs="Times New Roman"/>
          <w:sz w:val="24"/>
          <w:szCs w:val="24"/>
        </w:rPr>
        <w:t xml:space="preserve">. </w:t>
      </w:r>
    </w:p>
    <w:p w:rsidR="00A343CA" w:rsidRPr="00A343CA" w:rsidRDefault="00A343CA" w:rsidP="00A343CA">
      <w:pPr>
        <w:spacing w:after="0" w:line="240" w:lineRule="auto"/>
        <w:jc w:val="lowKashida"/>
        <w:rPr>
          <w:rFonts w:ascii="Times New Roman" w:eastAsia="Times New Roman" w:hAnsi="Times New Roman" w:cs="Times New Roman"/>
          <w:b/>
          <w:bCs/>
          <w:sz w:val="24"/>
          <w:szCs w:val="24"/>
        </w:rPr>
      </w:pPr>
      <w:r w:rsidRPr="00A343CA">
        <w:rPr>
          <w:rFonts w:ascii="Times New Roman" w:eastAsia="Times New Roman" w:hAnsi="Times New Roman" w:cs="Times New Roman"/>
          <w:b/>
          <w:bCs/>
          <w:sz w:val="24"/>
          <w:szCs w:val="24"/>
        </w:rPr>
        <w:t xml:space="preserve">Statistical examination </w:t>
      </w:r>
    </w:p>
    <w:p w:rsidR="00A61599" w:rsidRPr="00A61599" w:rsidRDefault="00A61599" w:rsidP="00413EFD">
      <w:pPr>
        <w:spacing w:after="0" w:line="240" w:lineRule="auto"/>
        <w:ind w:firstLine="567"/>
        <w:jc w:val="lowKashida"/>
        <w:rPr>
          <w:rFonts w:ascii="Times New Roman" w:eastAsia="Times New Roman" w:hAnsi="Times New Roman" w:cs="Times New Roman"/>
          <w:sz w:val="24"/>
          <w:szCs w:val="24"/>
        </w:rPr>
      </w:pPr>
      <w:r w:rsidRPr="00A61599">
        <w:rPr>
          <w:rFonts w:ascii="Times New Roman" w:eastAsia="Times New Roman" w:hAnsi="Times New Roman" w:cs="Times New Roman"/>
          <w:sz w:val="24"/>
          <w:szCs w:val="24"/>
        </w:rPr>
        <w:t xml:space="preserve">Data management and statistical analysis were conducted </w:t>
      </w:r>
      <w:proofErr w:type="spellStart"/>
      <w:r w:rsidRPr="00A61599">
        <w:rPr>
          <w:rFonts w:ascii="Times New Roman" w:eastAsia="Times New Roman" w:hAnsi="Times New Roman" w:cs="Times New Roman"/>
          <w:sz w:val="24"/>
          <w:szCs w:val="24"/>
        </w:rPr>
        <w:t>utilising</w:t>
      </w:r>
      <w:proofErr w:type="spellEnd"/>
      <w:r w:rsidRPr="00A61599">
        <w:rPr>
          <w:rFonts w:ascii="Times New Roman" w:eastAsia="Times New Roman" w:hAnsi="Times New Roman" w:cs="Times New Roman"/>
          <w:sz w:val="24"/>
          <w:szCs w:val="24"/>
        </w:rPr>
        <w:t xml:space="preserve"> SPSS version 25 (IBM, Armonk, New York, United States). Numerical data were presented as averages and standard deviations or medians and ranges. Categorical data was presented as numerical values and percentages. Comparisons were conducted using the independent t-test for normally distributed numerical data and the Mann-Whitney U test for non-normally distributed numerical data. Categorical data were </w:t>
      </w:r>
      <w:proofErr w:type="spellStart"/>
      <w:r w:rsidRPr="00A61599">
        <w:rPr>
          <w:rFonts w:ascii="Times New Roman" w:eastAsia="Times New Roman" w:hAnsi="Times New Roman" w:cs="Times New Roman"/>
          <w:sz w:val="24"/>
          <w:szCs w:val="24"/>
        </w:rPr>
        <w:t>analysed</w:t>
      </w:r>
      <w:proofErr w:type="spellEnd"/>
      <w:r w:rsidRPr="00A61599">
        <w:rPr>
          <w:rFonts w:ascii="Times New Roman" w:eastAsia="Times New Roman" w:hAnsi="Times New Roman" w:cs="Times New Roman"/>
          <w:sz w:val="24"/>
          <w:szCs w:val="24"/>
        </w:rPr>
        <w:t xml:space="preserve"> based on gender and residence via the Chi-square test. All P values were bilateral. P values below 0.05 were deemed significant.</w:t>
      </w:r>
    </w:p>
    <w:p w:rsidR="00A67477" w:rsidRPr="00A67477" w:rsidRDefault="00A67477" w:rsidP="00A67477">
      <w:pPr>
        <w:spacing w:before="240" w:after="60" w:line="240" w:lineRule="auto"/>
        <w:jc w:val="lowKashida"/>
        <w:rPr>
          <w:rFonts w:asciiTheme="majorBidi" w:hAnsiTheme="majorBidi" w:cstheme="majorBidi"/>
          <w:b/>
          <w:bCs/>
          <w:i/>
          <w:iCs/>
          <w:sz w:val="24"/>
          <w:szCs w:val="24"/>
          <w:highlight w:val="yellow"/>
          <w:lang w:bidi="ar-EG"/>
        </w:rPr>
      </w:pPr>
      <w:r w:rsidRPr="00A67477">
        <w:rPr>
          <w:rFonts w:asciiTheme="majorBidi" w:hAnsiTheme="majorBidi" w:cstheme="majorBidi"/>
          <w:b/>
          <w:bCs/>
          <w:sz w:val="24"/>
          <w:szCs w:val="24"/>
          <w:lang w:bidi="ar-EG"/>
        </w:rPr>
        <w:t>Results</w:t>
      </w:r>
    </w:p>
    <w:p w:rsidR="00A67477" w:rsidRPr="0022548B" w:rsidRDefault="00A67477" w:rsidP="0022548B">
      <w:pPr>
        <w:pStyle w:val="Heading1"/>
        <w:spacing w:line="240" w:lineRule="auto"/>
        <w:ind w:right="113"/>
        <w:jc w:val="lowKashida"/>
        <w:rPr>
          <w:rFonts w:asciiTheme="majorBidi" w:hAnsiTheme="majorBidi" w:cstheme="majorBidi"/>
          <w:color w:val="auto"/>
          <w:spacing w:val="-4"/>
          <w:sz w:val="24"/>
          <w:szCs w:val="24"/>
        </w:rPr>
      </w:pPr>
      <w:r w:rsidRPr="0022548B">
        <w:rPr>
          <w:rFonts w:asciiTheme="majorBidi" w:hAnsiTheme="majorBidi" w:cstheme="majorBidi"/>
          <w:color w:val="auto"/>
          <w:sz w:val="24"/>
          <w:szCs w:val="24"/>
        </w:rPr>
        <w:t>Comparison</w:t>
      </w:r>
      <w:r w:rsidRPr="0022548B">
        <w:rPr>
          <w:rFonts w:asciiTheme="majorBidi" w:hAnsiTheme="majorBidi" w:cstheme="majorBidi"/>
          <w:color w:val="auto"/>
          <w:spacing w:val="34"/>
          <w:sz w:val="24"/>
          <w:szCs w:val="24"/>
        </w:rPr>
        <w:t xml:space="preserve"> </w:t>
      </w:r>
      <w:r w:rsidRPr="0022548B">
        <w:rPr>
          <w:rFonts w:asciiTheme="majorBidi" w:hAnsiTheme="majorBidi" w:cstheme="majorBidi"/>
          <w:color w:val="auto"/>
          <w:sz w:val="24"/>
          <w:szCs w:val="24"/>
        </w:rPr>
        <w:t>between</w:t>
      </w:r>
      <w:r w:rsidRPr="0022548B">
        <w:rPr>
          <w:rFonts w:asciiTheme="majorBidi" w:hAnsiTheme="majorBidi" w:cstheme="majorBidi"/>
          <w:color w:val="auto"/>
          <w:spacing w:val="29"/>
          <w:sz w:val="24"/>
          <w:szCs w:val="24"/>
        </w:rPr>
        <w:t xml:space="preserve"> </w:t>
      </w:r>
      <w:r w:rsidRPr="0022548B">
        <w:rPr>
          <w:rFonts w:asciiTheme="majorBidi" w:hAnsiTheme="majorBidi" w:cstheme="majorBidi"/>
          <w:color w:val="auto"/>
          <w:sz w:val="24"/>
          <w:szCs w:val="24"/>
        </w:rPr>
        <w:t>all</w:t>
      </w:r>
      <w:r w:rsidRPr="0022548B">
        <w:rPr>
          <w:rFonts w:asciiTheme="majorBidi" w:hAnsiTheme="majorBidi" w:cstheme="majorBidi"/>
          <w:color w:val="auto"/>
          <w:spacing w:val="34"/>
          <w:sz w:val="24"/>
          <w:szCs w:val="24"/>
        </w:rPr>
        <w:t xml:space="preserve"> </w:t>
      </w:r>
      <w:r w:rsidRPr="0022548B">
        <w:rPr>
          <w:rFonts w:asciiTheme="majorBidi" w:hAnsiTheme="majorBidi" w:cstheme="majorBidi"/>
          <w:color w:val="auto"/>
          <w:spacing w:val="-2"/>
          <w:sz w:val="24"/>
          <w:szCs w:val="24"/>
        </w:rPr>
        <w:t xml:space="preserve">studied </w:t>
      </w:r>
      <w:r w:rsidRPr="0022548B">
        <w:rPr>
          <w:rFonts w:asciiTheme="majorBidi" w:hAnsiTheme="majorBidi" w:cstheme="majorBidi"/>
          <w:color w:val="auto"/>
          <w:sz w:val="24"/>
          <w:szCs w:val="24"/>
        </w:rPr>
        <w:t>groups</w:t>
      </w:r>
      <w:r w:rsidRPr="0022548B">
        <w:rPr>
          <w:rFonts w:asciiTheme="majorBidi" w:hAnsiTheme="majorBidi" w:cstheme="majorBidi"/>
          <w:color w:val="auto"/>
          <w:spacing w:val="26"/>
          <w:sz w:val="24"/>
          <w:szCs w:val="24"/>
        </w:rPr>
        <w:t xml:space="preserve"> </w:t>
      </w:r>
      <w:r w:rsidRPr="0022548B">
        <w:rPr>
          <w:rFonts w:asciiTheme="majorBidi" w:hAnsiTheme="majorBidi" w:cstheme="majorBidi"/>
          <w:color w:val="auto"/>
          <w:sz w:val="24"/>
          <w:szCs w:val="24"/>
        </w:rPr>
        <w:t>according</w:t>
      </w:r>
      <w:r w:rsidRPr="0022548B">
        <w:rPr>
          <w:rFonts w:asciiTheme="majorBidi" w:hAnsiTheme="majorBidi" w:cstheme="majorBidi"/>
          <w:color w:val="auto"/>
          <w:spacing w:val="22"/>
          <w:sz w:val="24"/>
          <w:szCs w:val="24"/>
        </w:rPr>
        <w:t xml:space="preserve"> </w:t>
      </w:r>
      <w:r w:rsidRPr="0022548B">
        <w:rPr>
          <w:rFonts w:asciiTheme="majorBidi" w:hAnsiTheme="majorBidi" w:cstheme="majorBidi"/>
          <w:color w:val="auto"/>
          <w:sz w:val="24"/>
          <w:szCs w:val="24"/>
        </w:rPr>
        <w:t>to</w:t>
      </w:r>
      <w:r w:rsidRPr="0022548B">
        <w:rPr>
          <w:rFonts w:asciiTheme="majorBidi" w:hAnsiTheme="majorBidi" w:cstheme="majorBidi"/>
          <w:color w:val="auto"/>
          <w:spacing w:val="23"/>
          <w:sz w:val="24"/>
          <w:szCs w:val="24"/>
        </w:rPr>
        <w:t xml:space="preserve"> </w:t>
      </w:r>
      <w:r w:rsidRPr="0022548B">
        <w:rPr>
          <w:rFonts w:asciiTheme="majorBidi" w:hAnsiTheme="majorBidi" w:cstheme="majorBidi"/>
          <w:color w:val="auto"/>
          <w:sz w:val="24"/>
          <w:szCs w:val="24"/>
        </w:rPr>
        <w:t>disease</w:t>
      </w:r>
      <w:r w:rsidRPr="0022548B">
        <w:rPr>
          <w:rFonts w:asciiTheme="majorBidi" w:hAnsiTheme="majorBidi" w:cstheme="majorBidi"/>
          <w:color w:val="auto"/>
          <w:spacing w:val="24"/>
          <w:sz w:val="24"/>
          <w:szCs w:val="24"/>
        </w:rPr>
        <w:t xml:space="preserve"> </w:t>
      </w:r>
      <w:r w:rsidRPr="0022548B">
        <w:rPr>
          <w:rFonts w:asciiTheme="majorBidi" w:hAnsiTheme="majorBidi" w:cstheme="majorBidi"/>
          <w:color w:val="auto"/>
          <w:spacing w:val="-4"/>
          <w:sz w:val="24"/>
          <w:szCs w:val="24"/>
        </w:rPr>
        <w:t>type</w:t>
      </w:r>
    </w:p>
    <w:p w:rsidR="0022548B" w:rsidRPr="0022548B" w:rsidRDefault="0022548B" w:rsidP="0022548B">
      <w:pPr>
        <w:spacing w:before="240" w:line="240" w:lineRule="auto"/>
        <w:jc w:val="lowKashida"/>
        <w:rPr>
          <w:rFonts w:asciiTheme="majorBidi" w:hAnsiTheme="majorBidi" w:cstheme="majorBidi"/>
          <w:sz w:val="24"/>
          <w:szCs w:val="24"/>
        </w:rPr>
      </w:pPr>
      <w:bookmarkStart w:id="3" w:name="Comparison_between_all_studied_groups_re"/>
      <w:bookmarkEnd w:id="3"/>
      <w:r w:rsidRPr="0022548B">
        <w:rPr>
          <w:rFonts w:asciiTheme="majorBidi" w:hAnsiTheme="majorBidi" w:cstheme="majorBidi"/>
          <w:sz w:val="24"/>
          <w:szCs w:val="24"/>
        </w:rPr>
        <w:t>An analysis of the ages of the three groups indicated no age disparit</w:t>
      </w:r>
      <w:r>
        <w:rPr>
          <w:rFonts w:asciiTheme="majorBidi" w:hAnsiTheme="majorBidi" w:cstheme="majorBidi"/>
          <w:sz w:val="24"/>
          <w:szCs w:val="24"/>
        </w:rPr>
        <w:t xml:space="preserve">y among them. </w:t>
      </w:r>
      <w:r w:rsidRPr="0022548B">
        <w:rPr>
          <w:rFonts w:asciiTheme="majorBidi" w:hAnsiTheme="majorBidi" w:cstheme="majorBidi"/>
          <w:sz w:val="24"/>
          <w:szCs w:val="24"/>
        </w:rPr>
        <w:t>The mean age showed no significant difference among the CAD group (56.06 ± 9.71 years), the CVD group (54.43 ± 9.42 years), and the PAD group (54.94 ± 9.55 years) (F = 2.388, p = 0.092).  The three groups exhibited a nearly similar distribution of males and females, with male percentages of 59.3%, 61.1%, and 60.7% in the CAD, CVD, and PAD groups, respectively.  The chi-square test indicated no significant difference between disease type and gender (χ² = 0.243; p = 0.885).</w:t>
      </w:r>
    </w:p>
    <w:p w:rsidR="0022548B" w:rsidRPr="0022548B" w:rsidRDefault="0022548B" w:rsidP="0022548B">
      <w:pPr>
        <w:spacing w:before="240" w:line="240" w:lineRule="auto"/>
        <w:jc w:val="lowKashida"/>
        <w:rPr>
          <w:rFonts w:asciiTheme="majorBidi" w:hAnsiTheme="majorBidi" w:cstheme="majorBidi"/>
          <w:sz w:val="24"/>
          <w:szCs w:val="24"/>
        </w:rPr>
      </w:pPr>
      <w:r w:rsidRPr="0022548B">
        <w:rPr>
          <w:rFonts w:asciiTheme="majorBidi" w:hAnsiTheme="majorBidi" w:cstheme="majorBidi"/>
          <w:sz w:val="24"/>
          <w:szCs w:val="24"/>
        </w:rPr>
        <w:t xml:space="preserve">A limited, non-significant inclination was observed towards a greater percentage of urban cases in the CVD group (56.1%) compared to the CAD (49.2%) and PAD (47.4%) groups.  The overall disparity between the two was not statistically significant (χ² = 5.531, p = 0.063).  The distribution of smoking status was uniform across all categories (CAD: 27.1%, CVD: 30.2%, and PAD: 31.7%) (P = 0.417), indicating no correlation between smoking </w:t>
      </w:r>
      <w:proofErr w:type="spellStart"/>
      <w:r w:rsidRPr="0022548B">
        <w:rPr>
          <w:rFonts w:asciiTheme="majorBidi" w:hAnsiTheme="majorBidi" w:cstheme="majorBidi"/>
          <w:sz w:val="24"/>
          <w:szCs w:val="24"/>
        </w:rPr>
        <w:t>behaviour</w:t>
      </w:r>
      <w:proofErr w:type="spellEnd"/>
      <w:r w:rsidRPr="0022548B">
        <w:rPr>
          <w:rFonts w:asciiTheme="majorBidi" w:hAnsiTheme="majorBidi" w:cstheme="majorBidi"/>
          <w:sz w:val="24"/>
          <w:szCs w:val="24"/>
        </w:rPr>
        <w:t xml:space="preserve"> and illness type in the examined cohort.</w:t>
      </w:r>
    </w:p>
    <w:p w:rsidR="0022548B" w:rsidRPr="0022548B" w:rsidRDefault="0022548B" w:rsidP="0022548B">
      <w:pPr>
        <w:spacing w:before="240" w:line="240" w:lineRule="auto"/>
        <w:jc w:val="lowKashida"/>
        <w:rPr>
          <w:rFonts w:asciiTheme="majorBidi" w:hAnsiTheme="majorBidi" w:cstheme="majorBidi"/>
          <w:sz w:val="24"/>
          <w:szCs w:val="24"/>
        </w:rPr>
      </w:pPr>
      <w:r w:rsidRPr="0022548B">
        <w:rPr>
          <w:rFonts w:asciiTheme="majorBidi" w:hAnsiTheme="majorBidi" w:cstheme="majorBidi"/>
          <w:sz w:val="24"/>
          <w:szCs w:val="24"/>
        </w:rPr>
        <w:t>Among CAD patients, 31.86% exhibited concomitant cardiovascular disease (CVD) and 25.87% presented with peripheral artery disease (PAD), whereas 42.27% of CAD patients were devoid of associated vascular illness.  In individuals with cardiovascular disease, only 16.61% were free of other vascular conditions, whereas 55.48% had coronary artery disease and 27.91% had peripheral artery disease.  Approximately 67.80% of the PAD cohort had CAD, whereas 32.20% had CVD; there were no patients devoid of concomitant vascular illness.  All relationships were extremely significant (p &lt; 0.001), indicating a major overlap in vascular comorbidities among the various groups.</w:t>
      </w:r>
    </w:p>
    <w:p w:rsidR="0022548B" w:rsidRPr="0022548B" w:rsidRDefault="0022548B" w:rsidP="0022548B">
      <w:pPr>
        <w:spacing w:before="240" w:line="240" w:lineRule="auto"/>
        <w:jc w:val="lowKashida"/>
        <w:rPr>
          <w:rFonts w:asciiTheme="majorBidi" w:hAnsiTheme="majorBidi" w:cstheme="majorBidi"/>
          <w:sz w:val="24"/>
          <w:szCs w:val="24"/>
        </w:rPr>
      </w:pPr>
      <w:r w:rsidRPr="0022548B">
        <w:rPr>
          <w:rFonts w:asciiTheme="majorBidi" w:hAnsiTheme="majorBidi" w:cstheme="majorBidi"/>
          <w:sz w:val="24"/>
          <w:szCs w:val="24"/>
        </w:rPr>
        <w:t xml:space="preserve"> Anthropometric measurements, including weight, exhibited no significant differences across the groups, with mean body weights for CAD, CVD, and PAD patients recorded at 77.92±10.18 kg, 78.22±10.07 kg, and 78.97±10.22 kg, respectively (F = 0.996, p = 0.370).  The height was comparable across groups, with a median of 1.67 m in both the CAD and PAD groups, and 1.68 </w:t>
      </w:r>
      <w:r w:rsidRPr="0022548B">
        <w:rPr>
          <w:rFonts w:asciiTheme="majorBidi" w:hAnsiTheme="majorBidi" w:cstheme="majorBidi"/>
          <w:sz w:val="24"/>
          <w:szCs w:val="24"/>
        </w:rPr>
        <w:lastRenderedPageBreak/>
        <w:t>m in the CVD group.  The interquartile ranges were comparable, and no significant difference was detected (H = 0.078, p = 0.962).</w:t>
      </w:r>
    </w:p>
    <w:p w:rsidR="0022548B" w:rsidRPr="0022548B" w:rsidRDefault="0022548B" w:rsidP="0022548B">
      <w:pPr>
        <w:spacing w:before="240" w:line="240" w:lineRule="auto"/>
        <w:jc w:val="lowKashida"/>
        <w:rPr>
          <w:rFonts w:asciiTheme="majorBidi" w:hAnsiTheme="majorBidi" w:cstheme="majorBidi"/>
          <w:sz w:val="24"/>
          <w:szCs w:val="24"/>
        </w:rPr>
      </w:pPr>
      <w:r w:rsidRPr="0022548B">
        <w:rPr>
          <w:rFonts w:asciiTheme="majorBidi" w:hAnsiTheme="majorBidi" w:cstheme="majorBidi"/>
          <w:sz w:val="24"/>
          <w:szCs w:val="24"/>
        </w:rPr>
        <w:t xml:space="preserve"> The Body Mass Index (BMI) did not exhibit statistically significant differences among the three groups.  The BMI was 27.85 (IQR: 24.96–30.48) in the CAD group, 27.72 (IQR: 25.15–30.81) in the CVD group, and 28.14 (IQR: 25.39–30.86) in the PAD group, with the difference being non-significant as per the </w:t>
      </w:r>
      <w:proofErr w:type="spellStart"/>
      <w:r w:rsidRPr="0022548B">
        <w:rPr>
          <w:rFonts w:asciiTheme="majorBidi" w:hAnsiTheme="majorBidi" w:cstheme="majorBidi"/>
          <w:sz w:val="24"/>
          <w:szCs w:val="24"/>
        </w:rPr>
        <w:t>Kruskal</w:t>
      </w:r>
      <w:proofErr w:type="spellEnd"/>
      <w:r w:rsidRPr="0022548B">
        <w:rPr>
          <w:rFonts w:asciiTheme="majorBidi" w:hAnsiTheme="majorBidi" w:cstheme="majorBidi"/>
          <w:sz w:val="24"/>
          <w:szCs w:val="24"/>
        </w:rPr>
        <w:t xml:space="preserve">-Wallis test (H = 1.882, p = 0.390).  </w:t>
      </w:r>
      <w:r>
        <w:rPr>
          <w:rFonts w:asciiTheme="majorBidi" w:hAnsiTheme="majorBidi" w:cstheme="majorBidi"/>
          <w:sz w:val="24"/>
          <w:szCs w:val="24"/>
        </w:rPr>
        <w:t xml:space="preserve"> </w:t>
      </w:r>
    </w:p>
    <w:p w:rsidR="0022548B" w:rsidRPr="0022548B" w:rsidRDefault="0022548B" w:rsidP="0022548B">
      <w:pPr>
        <w:spacing w:before="240" w:line="240" w:lineRule="auto"/>
        <w:jc w:val="lowKashida"/>
        <w:rPr>
          <w:rFonts w:asciiTheme="majorBidi" w:hAnsiTheme="majorBidi" w:cstheme="majorBidi"/>
          <w:sz w:val="24"/>
          <w:szCs w:val="24"/>
        </w:rPr>
      </w:pPr>
      <w:r w:rsidRPr="0022548B">
        <w:rPr>
          <w:rFonts w:asciiTheme="majorBidi" w:hAnsiTheme="majorBidi" w:cstheme="majorBidi"/>
          <w:sz w:val="24"/>
          <w:szCs w:val="24"/>
        </w:rPr>
        <w:t xml:space="preserve"> Waist circumference (WC), an indicator of abdominal obesity, was likewise similar among the three groups (Table 1).  The average waist circumference (WC) for the coronary artery disease (CAD) group was 102.16 ± 10.64 cm, for the cardiovascular disease (CVD) group was 101.17 ± 10.34 cm, and for the peripheral artery disease (PAD) group was 101.81 ± 10.46 cm (F = 0.706, p = 0.494).  The gender-separate analysis of waist circumference was also non-significant (females: p = 0.2552; males: p = 0.9568).</w:t>
      </w:r>
    </w:p>
    <w:p w:rsidR="00A67477" w:rsidRPr="00A67477" w:rsidRDefault="00A67477" w:rsidP="0022548B">
      <w:pPr>
        <w:spacing w:before="240" w:line="240" w:lineRule="auto"/>
        <w:jc w:val="lowKashida"/>
        <w:rPr>
          <w:rFonts w:asciiTheme="majorBidi" w:hAnsiTheme="majorBidi" w:cstheme="majorBidi"/>
          <w:bCs/>
          <w:spacing w:val="-4"/>
          <w:sz w:val="24"/>
          <w:szCs w:val="24"/>
        </w:rPr>
      </w:pPr>
      <w:r w:rsidRPr="00A67477">
        <w:rPr>
          <w:rFonts w:asciiTheme="majorBidi" w:hAnsiTheme="majorBidi" w:cstheme="majorBidi"/>
          <w:b/>
          <w:bCs/>
          <w:sz w:val="24"/>
          <w:szCs w:val="24"/>
        </w:rPr>
        <w:t xml:space="preserve">Tables </w:t>
      </w:r>
      <w:r w:rsidR="00B82D86">
        <w:rPr>
          <w:rFonts w:asciiTheme="majorBidi" w:hAnsiTheme="majorBidi" w:cstheme="majorBidi"/>
          <w:b/>
          <w:bCs/>
          <w:sz w:val="24"/>
          <w:szCs w:val="24"/>
        </w:rPr>
        <w:t>1</w:t>
      </w:r>
      <w:r w:rsidRPr="00A67477">
        <w:rPr>
          <w:rFonts w:asciiTheme="majorBidi" w:hAnsiTheme="majorBidi" w:cstheme="majorBidi"/>
          <w:b/>
          <w:sz w:val="24"/>
          <w:szCs w:val="24"/>
        </w:rPr>
        <w:t>:</w:t>
      </w:r>
      <w:r w:rsidRPr="00A67477">
        <w:rPr>
          <w:rFonts w:asciiTheme="majorBidi" w:hAnsiTheme="majorBidi" w:cstheme="majorBidi"/>
          <w:bCs/>
          <w:sz w:val="24"/>
          <w:szCs w:val="24"/>
        </w:rPr>
        <w:t xml:space="preserve"> Comparison</w:t>
      </w:r>
      <w:r w:rsidRPr="00A67477">
        <w:rPr>
          <w:rFonts w:asciiTheme="majorBidi" w:hAnsiTheme="majorBidi" w:cstheme="majorBidi"/>
          <w:bCs/>
          <w:spacing w:val="-4"/>
          <w:sz w:val="24"/>
          <w:szCs w:val="24"/>
        </w:rPr>
        <w:t xml:space="preserve"> </w:t>
      </w:r>
      <w:r w:rsidRPr="00A67477">
        <w:rPr>
          <w:rFonts w:asciiTheme="majorBidi" w:hAnsiTheme="majorBidi" w:cstheme="majorBidi"/>
          <w:bCs/>
          <w:sz w:val="24"/>
          <w:szCs w:val="24"/>
        </w:rPr>
        <w:t>between</w:t>
      </w:r>
      <w:r w:rsidRPr="00A67477">
        <w:rPr>
          <w:rFonts w:asciiTheme="majorBidi" w:hAnsiTheme="majorBidi" w:cstheme="majorBidi"/>
          <w:bCs/>
          <w:spacing w:val="-3"/>
          <w:sz w:val="24"/>
          <w:szCs w:val="24"/>
        </w:rPr>
        <w:t xml:space="preserve"> </w:t>
      </w:r>
      <w:r w:rsidRPr="00A67477">
        <w:rPr>
          <w:rFonts w:asciiTheme="majorBidi" w:hAnsiTheme="majorBidi" w:cstheme="majorBidi"/>
          <w:bCs/>
          <w:sz w:val="24"/>
          <w:szCs w:val="24"/>
        </w:rPr>
        <w:t>all</w:t>
      </w:r>
      <w:r w:rsidRPr="00A67477">
        <w:rPr>
          <w:rFonts w:asciiTheme="majorBidi" w:hAnsiTheme="majorBidi" w:cstheme="majorBidi"/>
          <w:bCs/>
          <w:spacing w:val="-3"/>
          <w:sz w:val="24"/>
          <w:szCs w:val="24"/>
        </w:rPr>
        <w:t xml:space="preserve"> </w:t>
      </w:r>
      <w:r w:rsidRPr="00A67477">
        <w:rPr>
          <w:rFonts w:asciiTheme="majorBidi" w:hAnsiTheme="majorBidi" w:cstheme="majorBidi"/>
          <w:bCs/>
          <w:sz w:val="24"/>
          <w:szCs w:val="24"/>
        </w:rPr>
        <w:t>studied</w:t>
      </w:r>
      <w:r w:rsidRPr="00A67477">
        <w:rPr>
          <w:rFonts w:asciiTheme="majorBidi" w:hAnsiTheme="majorBidi" w:cstheme="majorBidi"/>
          <w:bCs/>
          <w:spacing w:val="-3"/>
          <w:sz w:val="24"/>
          <w:szCs w:val="24"/>
        </w:rPr>
        <w:t xml:space="preserve"> </w:t>
      </w:r>
      <w:r w:rsidRPr="00A67477">
        <w:rPr>
          <w:rFonts w:asciiTheme="majorBidi" w:hAnsiTheme="majorBidi" w:cstheme="majorBidi"/>
          <w:bCs/>
          <w:sz w:val="24"/>
          <w:szCs w:val="24"/>
        </w:rPr>
        <w:t>groups</w:t>
      </w:r>
      <w:r w:rsidRPr="00A67477">
        <w:rPr>
          <w:rFonts w:asciiTheme="majorBidi" w:hAnsiTheme="majorBidi" w:cstheme="majorBidi"/>
          <w:bCs/>
          <w:spacing w:val="-1"/>
          <w:sz w:val="24"/>
          <w:szCs w:val="24"/>
        </w:rPr>
        <w:t xml:space="preserve"> </w:t>
      </w:r>
      <w:r w:rsidRPr="00A67477">
        <w:rPr>
          <w:rFonts w:asciiTheme="majorBidi" w:hAnsiTheme="majorBidi" w:cstheme="majorBidi"/>
          <w:bCs/>
          <w:sz w:val="24"/>
          <w:szCs w:val="24"/>
        </w:rPr>
        <w:t>regarding</w:t>
      </w:r>
      <w:r w:rsidRPr="00A67477">
        <w:rPr>
          <w:rFonts w:asciiTheme="majorBidi" w:hAnsiTheme="majorBidi" w:cstheme="majorBidi"/>
          <w:bCs/>
          <w:spacing w:val="-3"/>
          <w:sz w:val="24"/>
          <w:szCs w:val="24"/>
        </w:rPr>
        <w:t xml:space="preserve"> </w:t>
      </w:r>
      <w:r w:rsidRPr="00A67477">
        <w:rPr>
          <w:rFonts w:asciiTheme="majorBidi" w:hAnsiTheme="majorBidi" w:cstheme="majorBidi"/>
          <w:bCs/>
          <w:sz w:val="24"/>
          <w:szCs w:val="24"/>
        </w:rPr>
        <w:t>demographic</w:t>
      </w:r>
      <w:r w:rsidRPr="00A67477">
        <w:rPr>
          <w:rFonts w:asciiTheme="majorBidi" w:hAnsiTheme="majorBidi" w:cstheme="majorBidi"/>
          <w:bCs/>
          <w:spacing w:val="-6"/>
          <w:sz w:val="24"/>
          <w:szCs w:val="24"/>
        </w:rPr>
        <w:t xml:space="preserve"> </w:t>
      </w:r>
      <w:r w:rsidRPr="00A67477">
        <w:rPr>
          <w:rFonts w:asciiTheme="majorBidi" w:hAnsiTheme="majorBidi" w:cstheme="majorBidi"/>
          <w:bCs/>
          <w:spacing w:val="-4"/>
          <w:sz w:val="24"/>
          <w:szCs w:val="24"/>
        </w:rPr>
        <w:t>data.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3"/>
        <w:gridCol w:w="1717"/>
        <w:gridCol w:w="1432"/>
        <w:gridCol w:w="1576"/>
        <w:gridCol w:w="1223"/>
        <w:gridCol w:w="939"/>
        <w:gridCol w:w="1230"/>
      </w:tblGrid>
      <w:tr w:rsidR="00A67477" w:rsidRPr="00821C4E" w:rsidTr="00A67477">
        <w:trPr>
          <w:trHeight w:val="20"/>
        </w:trPr>
        <w:tc>
          <w:tcPr>
            <w:tcW w:w="659"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2"/>
                <w:sz w:val="20"/>
                <w:szCs w:val="20"/>
              </w:rPr>
              <w:t>Parameter</w:t>
            </w:r>
          </w:p>
        </w:tc>
        <w:tc>
          <w:tcPr>
            <w:tcW w:w="91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Category</w:t>
            </w:r>
          </w:p>
        </w:tc>
        <w:tc>
          <w:tcPr>
            <w:tcW w:w="76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right="142"/>
              <w:jc w:val="lowKashida"/>
              <w:rPr>
                <w:rFonts w:asciiTheme="majorBidi" w:hAnsiTheme="majorBidi" w:cstheme="majorBidi"/>
                <w:sz w:val="20"/>
                <w:szCs w:val="20"/>
              </w:rPr>
            </w:pPr>
            <w:r w:rsidRPr="00821C4E">
              <w:rPr>
                <w:rFonts w:asciiTheme="majorBidi" w:hAnsiTheme="majorBidi" w:cstheme="majorBidi"/>
                <w:spacing w:val="-2"/>
                <w:sz w:val="20"/>
                <w:szCs w:val="20"/>
              </w:rPr>
              <w:t>Coronary artery disease (n=317)</w:t>
            </w:r>
          </w:p>
        </w:tc>
        <w:tc>
          <w:tcPr>
            <w:tcW w:w="84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pacing w:val="-2"/>
                <w:sz w:val="20"/>
                <w:szCs w:val="20"/>
              </w:rPr>
              <w:t xml:space="preserve">Cerebrovascular </w:t>
            </w:r>
            <w:r w:rsidRPr="00821C4E">
              <w:rPr>
                <w:rFonts w:asciiTheme="majorBidi" w:hAnsiTheme="majorBidi" w:cstheme="majorBidi"/>
                <w:sz w:val="20"/>
                <w:szCs w:val="20"/>
              </w:rPr>
              <w:t>disease</w:t>
            </w:r>
            <w:r w:rsidRPr="00821C4E">
              <w:rPr>
                <w:rFonts w:asciiTheme="majorBidi" w:hAnsiTheme="majorBidi" w:cstheme="majorBidi"/>
                <w:spacing w:val="4"/>
                <w:sz w:val="20"/>
                <w:szCs w:val="20"/>
              </w:rPr>
              <w:t xml:space="preserve"> </w:t>
            </w:r>
            <w:r w:rsidRPr="00821C4E">
              <w:rPr>
                <w:rFonts w:asciiTheme="majorBidi" w:hAnsiTheme="majorBidi" w:cstheme="majorBidi"/>
                <w:spacing w:val="-2"/>
                <w:sz w:val="20"/>
                <w:szCs w:val="20"/>
              </w:rPr>
              <w:t>(n=301)</w:t>
            </w:r>
          </w:p>
        </w:tc>
        <w:tc>
          <w:tcPr>
            <w:tcW w:w="65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Peripheral artery disease (n=382)</w:t>
            </w:r>
          </w:p>
        </w:tc>
        <w:tc>
          <w:tcPr>
            <w:tcW w:w="50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p-value</w:t>
            </w:r>
          </w:p>
        </w:tc>
        <w:tc>
          <w:tcPr>
            <w:tcW w:w="659"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2"/>
                <w:sz w:val="20"/>
                <w:szCs w:val="20"/>
              </w:rPr>
              <w:t>Significance</w:t>
            </w: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z w:val="20"/>
                <w:szCs w:val="20"/>
              </w:rPr>
              <w:t>Age</w:t>
            </w:r>
            <w:r w:rsidRPr="00821C4E">
              <w:rPr>
                <w:rFonts w:asciiTheme="majorBidi" w:hAnsiTheme="majorBidi" w:cstheme="majorBidi"/>
                <w:spacing w:val="1"/>
                <w:sz w:val="20"/>
                <w:szCs w:val="20"/>
              </w:rPr>
              <w:t xml:space="preserve"> </w:t>
            </w:r>
            <w:r w:rsidRPr="00821C4E">
              <w:rPr>
                <w:rFonts w:asciiTheme="majorBidi" w:hAnsiTheme="majorBidi" w:cstheme="majorBidi"/>
                <w:spacing w:val="-2"/>
                <w:sz w:val="20"/>
                <w:szCs w:val="20"/>
              </w:rPr>
              <w:t>(years)</w:t>
            </w: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Mean</w:t>
            </w:r>
            <w:r w:rsidRPr="00821C4E">
              <w:rPr>
                <w:rFonts w:asciiTheme="majorBidi" w:hAnsiTheme="majorBidi" w:cstheme="majorBidi"/>
                <w:spacing w:val="1"/>
                <w:sz w:val="20"/>
                <w:szCs w:val="20"/>
              </w:rPr>
              <w:t xml:space="preserve"> </w:t>
            </w:r>
            <w:r w:rsidRPr="00821C4E">
              <w:rPr>
                <w:rFonts w:asciiTheme="majorBidi" w:hAnsiTheme="majorBidi" w:cstheme="majorBidi"/>
                <w:sz w:val="20"/>
                <w:szCs w:val="20"/>
              </w:rPr>
              <w:t>±</w:t>
            </w:r>
            <w:r w:rsidRPr="00821C4E">
              <w:rPr>
                <w:rFonts w:asciiTheme="majorBidi" w:hAnsiTheme="majorBidi" w:cstheme="majorBidi"/>
                <w:spacing w:val="2"/>
                <w:sz w:val="20"/>
                <w:szCs w:val="20"/>
              </w:rPr>
              <w:t xml:space="preserve"> </w:t>
            </w:r>
            <w:r w:rsidRPr="00821C4E">
              <w:rPr>
                <w:rFonts w:asciiTheme="majorBidi" w:hAnsiTheme="majorBidi" w:cstheme="majorBidi"/>
                <w:spacing w:val="-5"/>
                <w:sz w:val="20"/>
                <w:szCs w:val="20"/>
              </w:rPr>
              <w:t>SD</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 xml:space="preserve">56.06 </w:t>
            </w:r>
            <w:r w:rsidRPr="00821C4E">
              <w:rPr>
                <w:rFonts w:asciiTheme="majorBidi" w:hAnsiTheme="majorBidi" w:cstheme="majorBidi"/>
                <w:spacing w:val="-10"/>
                <w:sz w:val="20"/>
                <w:szCs w:val="20"/>
              </w:rPr>
              <w:t>±</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54.43 ± </w:t>
            </w:r>
            <w:r w:rsidRPr="00821C4E">
              <w:rPr>
                <w:rFonts w:asciiTheme="majorBidi" w:hAnsiTheme="majorBidi" w:cstheme="majorBidi"/>
                <w:spacing w:val="-4"/>
                <w:sz w:val="20"/>
                <w:szCs w:val="20"/>
              </w:rPr>
              <w:t>9.42</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 xml:space="preserve">54.94 </w:t>
            </w:r>
            <w:r w:rsidRPr="00821C4E">
              <w:rPr>
                <w:rFonts w:asciiTheme="majorBidi" w:hAnsiTheme="majorBidi" w:cstheme="majorBidi"/>
                <w:spacing w:val="-10"/>
                <w:sz w:val="20"/>
                <w:szCs w:val="20"/>
              </w:rPr>
              <w:t>±</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F:2.388,</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4"/>
                <w:sz w:val="20"/>
                <w:szCs w:val="20"/>
              </w:rPr>
              <w:t>9.71</w:t>
            </w:r>
          </w:p>
        </w:tc>
        <w:tc>
          <w:tcPr>
            <w:tcW w:w="843"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4"/>
                <w:sz w:val="20"/>
                <w:szCs w:val="20"/>
              </w:rPr>
              <w:t>9.55</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p=0.092</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2"/>
                <w:sz w:val="20"/>
                <w:szCs w:val="20"/>
              </w:rPr>
              <w:t>Gender</w:t>
            </w: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4"/>
                <w:sz w:val="20"/>
                <w:szCs w:val="20"/>
              </w:rPr>
              <w:t>Male</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188</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184 </w:t>
            </w:r>
            <w:r w:rsidRPr="00821C4E">
              <w:rPr>
                <w:rFonts w:asciiTheme="majorBidi" w:hAnsiTheme="majorBidi" w:cstheme="majorBidi"/>
                <w:spacing w:val="-2"/>
                <w:sz w:val="20"/>
                <w:szCs w:val="20"/>
              </w:rPr>
              <w:t>(61.1%)</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232</w:t>
            </w:r>
          </w:p>
        </w:tc>
        <w:tc>
          <w:tcPr>
            <w:tcW w:w="502"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χ²:0.243,</w:t>
            </w:r>
          </w:p>
        </w:tc>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(59.3%)</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(60.7%)</w:t>
            </w:r>
          </w:p>
        </w:tc>
        <w:tc>
          <w:tcPr>
            <w:tcW w:w="502"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p=0.885</w:t>
            </w:r>
          </w:p>
        </w:tc>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Female</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129</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117 </w:t>
            </w:r>
            <w:r w:rsidRPr="00821C4E">
              <w:rPr>
                <w:rFonts w:asciiTheme="majorBidi" w:hAnsiTheme="majorBidi" w:cstheme="majorBidi"/>
                <w:spacing w:val="-2"/>
                <w:sz w:val="20"/>
                <w:szCs w:val="20"/>
              </w:rPr>
              <w:t>(38.9%)</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150</w:t>
            </w:r>
          </w:p>
        </w:tc>
        <w:tc>
          <w:tcPr>
            <w:tcW w:w="502"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(40.7%)</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(39.3%)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2"/>
                <w:sz w:val="20"/>
                <w:szCs w:val="20"/>
              </w:rPr>
              <w:t>Residence</w:t>
            </w: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Urban</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156</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169 </w:t>
            </w:r>
            <w:r w:rsidRPr="00821C4E">
              <w:rPr>
                <w:rFonts w:asciiTheme="majorBidi" w:hAnsiTheme="majorBidi" w:cstheme="majorBidi"/>
                <w:spacing w:val="-2"/>
                <w:sz w:val="20"/>
                <w:szCs w:val="20"/>
              </w:rPr>
              <w:t>(56.1%)</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181</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χ²:5.531,</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(49.2%)</w:t>
            </w:r>
          </w:p>
        </w:tc>
        <w:tc>
          <w:tcPr>
            <w:tcW w:w="843"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(47.4%)</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p=0.063</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Rural</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161</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132 </w:t>
            </w:r>
            <w:r w:rsidRPr="00821C4E">
              <w:rPr>
                <w:rFonts w:asciiTheme="majorBidi" w:hAnsiTheme="majorBidi" w:cstheme="majorBidi"/>
                <w:spacing w:val="-2"/>
                <w:sz w:val="20"/>
                <w:szCs w:val="20"/>
              </w:rPr>
              <w:t>(43.9%)</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201</w:t>
            </w:r>
          </w:p>
        </w:tc>
        <w:tc>
          <w:tcPr>
            <w:tcW w:w="502"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(50.8%)</w:t>
            </w:r>
          </w:p>
        </w:tc>
        <w:tc>
          <w:tcPr>
            <w:tcW w:w="843"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(52.6%)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2"/>
                <w:sz w:val="20"/>
                <w:szCs w:val="20"/>
              </w:rPr>
              <w:t>Smoking</w:t>
            </w: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Yes</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86</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91 </w:t>
            </w:r>
            <w:r w:rsidRPr="00821C4E">
              <w:rPr>
                <w:rFonts w:asciiTheme="majorBidi" w:hAnsiTheme="majorBidi" w:cstheme="majorBidi"/>
                <w:spacing w:val="-2"/>
                <w:sz w:val="20"/>
                <w:szCs w:val="20"/>
              </w:rPr>
              <w:t>(30.2%)</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121</w:t>
            </w:r>
          </w:p>
        </w:tc>
        <w:tc>
          <w:tcPr>
            <w:tcW w:w="502"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χ²:1.750,</w:t>
            </w:r>
          </w:p>
        </w:tc>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(27.1%)</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(31.7%)</w:t>
            </w:r>
          </w:p>
        </w:tc>
        <w:tc>
          <w:tcPr>
            <w:tcW w:w="502"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p=0.417</w:t>
            </w:r>
          </w:p>
        </w:tc>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No</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231</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210 </w:t>
            </w:r>
            <w:r w:rsidRPr="00821C4E">
              <w:rPr>
                <w:rFonts w:asciiTheme="majorBidi" w:hAnsiTheme="majorBidi" w:cstheme="majorBidi"/>
                <w:spacing w:val="-2"/>
                <w:sz w:val="20"/>
                <w:szCs w:val="20"/>
              </w:rPr>
              <w:t>(69.8%)</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261</w:t>
            </w:r>
          </w:p>
        </w:tc>
        <w:tc>
          <w:tcPr>
            <w:tcW w:w="502"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vMerge w:val="restar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(72.9%)</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(68.3%)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b/>
                <w:sz w:val="20"/>
                <w:szCs w:val="20"/>
              </w:rPr>
            </w:pPr>
            <w:r w:rsidRPr="00821C4E">
              <w:rPr>
                <w:rFonts w:asciiTheme="majorBidi" w:hAnsiTheme="majorBidi" w:cstheme="majorBidi"/>
                <w:b/>
                <w:spacing w:val="-2"/>
                <w:sz w:val="20"/>
                <w:szCs w:val="20"/>
              </w:rPr>
              <w:t>Associated</w:t>
            </w: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Cerebrovascular</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101</w:t>
            </w:r>
          </w:p>
        </w:tc>
        <w:tc>
          <w:tcPr>
            <w:tcW w:w="84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0</w:t>
            </w:r>
            <w:r w:rsidRPr="00821C4E">
              <w:rPr>
                <w:rFonts w:asciiTheme="majorBidi" w:hAnsiTheme="majorBidi" w:cstheme="majorBidi"/>
                <w:spacing w:val="-2"/>
                <w:sz w:val="20"/>
                <w:szCs w:val="20"/>
              </w:rPr>
              <w:t xml:space="preserve"> (0.00%)</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123</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p</w:t>
            </w:r>
            <w:r w:rsidRPr="00821C4E">
              <w:rPr>
                <w:rFonts w:asciiTheme="majorBidi" w:hAnsiTheme="majorBidi" w:cstheme="majorBidi"/>
                <w:spacing w:val="-1"/>
                <w:sz w:val="20"/>
                <w:szCs w:val="20"/>
              </w:rPr>
              <w:t xml:space="preserve"> </w:t>
            </w:r>
            <w:r w:rsidRPr="00821C4E">
              <w:rPr>
                <w:rFonts w:asciiTheme="majorBidi" w:hAnsiTheme="majorBidi" w:cstheme="majorBidi"/>
                <w:spacing w:val="-12"/>
                <w:sz w:val="20"/>
                <w:szCs w:val="20"/>
              </w:rPr>
              <w:t>&lt;</w:t>
            </w:r>
          </w:p>
        </w:tc>
        <w:tc>
          <w:tcPr>
            <w:tcW w:w="659"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HS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b/>
                <w:sz w:val="20"/>
                <w:szCs w:val="20"/>
              </w:rPr>
            </w:pPr>
            <w:r w:rsidRPr="00821C4E">
              <w:rPr>
                <w:rFonts w:asciiTheme="majorBidi" w:hAnsiTheme="majorBidi" w:cstheme="majorBidi"/>
                <w:b/>
                <w:spacing w:val="-2"/>
                <w:sz w:val="20"/>
                <w:szCs w:val="20"/>
              </w:rPr>
              <w:t>Disease</w:t>
            </w:r>
          </w:p>
        </w:tc>
        <w:tc>
          <w:tcPr>
            <w:tcW w:w="918"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disease</w:t>
            </w: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(31.86%)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(32.20%)</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Coronary</w:t>
            </w:r>
            <w:r w:rsidRPr="00821C4E">
              <w:rPr>
                <w:rFonts w:asciiTheme="majorBidi" w:hAnsiTheme="majorBidi" w:cstheme="majorBidi"/>
                <w:spacing w:val="-5"/>
                <w:sz w:val="20"/>
                <w:szCs w:val="20"/>
              </w:rPr>
              <w:t xml:space="preserve"> </w:t>
            </w:r>
            <w:r w:rsidRPr="00821C4E">
              <w:rPr>
                <w:rFonts w:asciiTheme="majorBidi" w:hAnsiTheme="majorBidi" w:cstheme="majorBidi"/>
                <w:spacing w:val="-2"/>
                <w:sz w:val="20"/>
                <w:szCs w:val="20"/>
              </w:rPr>
              <w:t>artery</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10"/>
                <w:sz w:val="20"/>
                <w:szCs w:val="20"/>
              </w:rPr>
              <w:t>0</w:t>
            </w:r>
          </w:p>
        </w:tc>
        <w:tc>
          <w:tcPr>
            <w:tcW w:w="84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167</w:t>
            </w:r>
            <w:r w:rsidRPr="00821C4E">
              <w:rPr>
                <w:rFonts w:asciiTheme="majorBidi" w:hAnsiTheme="majorBidi" w:cstheme="majorBidi"/>
                <w:spacing w:val="-6"/>
                <w:sz w:val="20"/>
                <w:szCs w:val="20"/>
              </w:rPr>
              <w:t xml:space="preserve"> </w:t>
            </w:r>
            <w:r w:rsidRPr="00821C4E">
              <w:rPr>
                <w:rFonts w:asciiTheme="majorBidi" w:hAnsiTheme="majorBidi" w:cstheme="majorBidi"/>
                <w:spacing w:val="-2"/>
                <w:sz w:val="20"/>
                <w:szCs w:val="20"/>
              </w:rPr>
              <w:t>(55.48%)</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5"/>
                <w:sz w:val="20"/>
                <w:szCs w:val="20"/>
              </w:rPr>
              <w:t>259</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p</w:t>
            </w:r>
            <w:r w:rsidRPr="00821C4E">
              <w:rPr>
                <w:rFonts w:asciiTheme="majorBidi" w:hAnsiTheme="majorBidi" w:cstheme="majorBidi"/>
                <w:spacing w:val="-1"/>
                <w:sz w:val="20"/>
                <w:szCs w:val="20"/>
              </w:rPr>
              <w:t xml:space="preserve"> </w:t>
            </w:r>
            <w:r w:rsidRPr="00821C4E">
              <w:rPr>
                <w:rFonts w:asciiTheme="majorBidi" w:hAnsiTheme="majorBidi" w:cstheme="majorBidi"/>
                <w:spacing w:val="-12"/>
                <w:sz w:val="20"/>
                <w:szCs w:val="20"/>
              </w:rPr>
              <w:t>&lt;</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HS</w:t>
            </w: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disease</w:t>
            </w: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(67.80%)</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0.001</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Peripheral</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82</w:t>
            </w:r>
          </w:p>
        </w:tc>
        <w:tc>
          <w:tcPr>
            <w:tcW w:w="84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84</w:t>
            </w:r>
            <w:r w:rsidRPr="00821C4E">
              <w:rPr>
                <w:rFonts w:asciiTheme="majorBidi" w:hAnsiTheme="majorBidi" w:cstheme="majorBidi"/>
                <w:spacing w:val="-4"/>
                <w:sz w:val="20"/>
                <w:szCs w:val="20"/>
              </w:rPr>
              <w:t xml:space="preserve"> </w:t>
            </w:r>
            <w:r w:rsidRPr="00821C4E">
              <w:rPr>
                <w:rFonts w:asciiTheme="majorBidi" w:hAnsiTheme="majorBidi" w:cstheme="majorBidi"/>
                <w:spacing w:val="-2"/>
                <w:sz w:val="20"/>
                <w:szCs w:val="20"/>
              </w:rPr>
              <w:t>(27.91%)</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10"/>
                <w:sz w:val="20"/>
                <w:szCs w:val="20"/>
              </w:rPr>
              <w:t>0</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p</w:t>
            </w:r>
            <w:r w:rsidRPr="00821C4E">
              <w:rPr>
                <w:rFonts w:asciiTheme="majorBidi" w:hAnsiTheme="majorBidi" w:cstheme="majorBidi"/>
                <w:spacing w:val="-1"/>
                <w:sz w:val="20"/>
                <w:szCs w:val="20"/>
              </w:rPr>
              <w:t xml:space="preserve"> </w:t>
            </w:r>
            <w:r w:rsidRPr="00821C4E">
              <w:rPr>
                <w:rFonts w:asciiTheme="majorBidi" w:hAnsiTheme="majorBidi" w:cstheme="majorBidi"/>
                <w:spacing w:val="-12"/>
                <w:sz w:val="20"/>
                <w:szCs w:val="20"/>
              </w:rPr>
              <w:t>&lt;</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HS</w:t>
            </w: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artery</w:t>
            </w:r>
            <w:r w:rsidRPr="00821C4E">
              <w:rPr>
                <w:rFonts w:asciiTheme="majorBidi" w:hAnsiTheme="majorBidi" w:cstheme="majorBidi"/>
                <w:spacing w:val="-6"/>
                <w:sz w:val="20"/>
                <w:szCs w:val="20"/>
              </w:rPr>
              <w:t xml:space="preserve"> </w:t>
            </w:r>
            <w:r w:rsidRPr="00821C4E">
              <w:rPr>
                <w:rFonts w:asciiTheme="majorBidi" w:hAnsiTheme="majorBidi" w:cstheme="majorBidi"/>
                <w:spacing w:val="-2"/>
                <w:sz w:val="20"/>
                <w:szCs w:val="20"/>
              </w:rPr>
              <w:t>disease</w:t>
            </w: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(25.87%)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0.001</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No</w:t>
            </w:r>
            <w:r w:rsidRPr="00821C4E">
              <w:rPr>
                <w:rFonts w:asciiTheme="majorBidi" w:hAnsiTheme="majorBidi" w:cstheme="majorBidi"/>
                <w:spacing w:val="-4"/>
                <w:sz w:val="20"/>
                <w:szCs w:val="20"/>
              </w:rPr>
              <w:t xml:space="preserve"> </w:t>
            </w:r>
            <w:r w:rsidRPr="00821C4E">
              <w:rPr>
                <w:rFonts w:asciiTheme="majorBidi" w:hAnsiTheme="majorBidi" w:cstheme="majorBidi"/>
                <w:spacing w:val="-2"/>
                <w:sz w:val="20"/>
                <w:szCs w:val="20"/>
              </w:rPr>
              <w:t>associated</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5"/>
                <w:sz w:val="20"/>
                <w:szCs w:val="20"/>
              </w:rPr>
              <w:t>134</w:t>
            </w:r>
          </w:p>
        </w:tc>
        <w:tc>
          <w:tcPr>
            <w:tcW w:w="84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50</w:t>
            </w:r>
            <w:r w:rsidRPr="00821C4E">
              <w:rPr>
                <w:rFonts w:asciiTheme="majorBidi" w:hAnsiTheme="majorBidi" w:cstheme="majorBidi"/>
                <w:spacing w:val="-4"/>
                <w:sz w:val="20"/>
                <w:szCs w:val="20"/>
              </w:rPr>
              <w:t xml:space="preserve"> </w:t>
            </w:r>
            <w:r w:rsidRPr="00821C4E">
              <w:rPr>
                <w:rFonts w:asciiTheme="majorBidi" w:hAnsiTheme="majorBidi" w:cstheme="majorBidi"/>
                <w:spacing w:val="-2"/>
                <w:sz w:val="20"/>
                <w:szCs w:val="20"/>
              </w:rPr>
              <w:t>(16.61%)</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10"/>
                <w:sz w:val="20"/>
                <w:szCs w:val="20"/>
              </w:rPr>
              <w:t>0</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p</w:t>
            </w:r>
            <w:r w:rsidRPr="00821C4E">
              <w:rPr>
                <w:rFonts w:asciiTheme="majorBidi" w:hAnsiTheme="majorBidi" w:cstheme="majorBidi"/>
                <w:spacing w:val="-1"/>
                <w:sz w:val="20"/>
                <w:szCs w:val="20"/>
              </w:rPr>
              <w:t xml:space="preserve"> </w:t>
            </w:r>
            <w:r w:rsidRPr="00821C4E">
              <w:rPr>
                <w:rFonts w:asciiTheme="majorBidi" w:hAnsiTheme="majorBidi" w:cstheme="majorBidi"/>
                <w:spacing w:val="-12"/>
                <w:sz w:val="20"/>
                <w:szCs w:val="20"/>
              </w:rPr>
              <w:t>&lt;</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HS</w:t>
            </w: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disease</w:t>
            </w: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(42.27%)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0.001</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z w:val="20"/>
                <w:szCs w:val="20"/>
              </w:rPr>
              <w:t>Weight</w:t>
            </w:r>
            <w:r w:rsidRPr="00821C4E">
              <w:rPr>
                <w:rFonts w:asciiTheme="majorBidi" w:hAnsiTheme="majorBidi" w:cstheme="majorBidi"/>
                <w:spacing w:val="-2"/>
                <w:sz w:val="20"/>
                <w:szCs w:val="20"/>
              </w:rPr>
              <w:t xml:space="preserve"> </w:t>
            </w:r>
            <w:r w:rsidRPr="00821C4E">
              <w:rPr>
                <w:rFonts w:asciiTheme="majorBidi" w:hAnsiTheme="majorBidi" w:cstheme="majorBidi"/>
                <w:spacing w:val="-4"/>
                <w:sz w:val="20"/>
                <w:szCs w:val="20"/>
              </w:rPr>
              <w:t>(kg)</w:t>
            </w: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Mean</w:t>
            </w:r>
            <w:r w:rsidRPr="00821C4E">
              <w:rPr>
                <w:rFonts w:asciiTheme="majorBidi" w:hAnsiTheme="majorBidi" w:cstheme="majorBidi"/>
                <w:spacing w:val="1"/>
                <w:sz w:val="20"/>
                <w:szCs w:val="20"/>
              </w:rPr>
              <w:t xml:space="preserve"> </w:t>
            </w:r>
            <w:r w:rsidRPr="00821C4E">
              <w:rPr>
                <w:rFonts w:asciiTheme="majorBidi" w:hAnsiTheme="majorBidi" w:cstheme="majorBidi"/>
                <w:sz w:val="20"/>
                <w:szCs w:val="20"/>
              </w:rPr>
              <w:t>±</w:t>
            </w:r>
            <w:r w:rsidRPr="00821C4E">
              <w:rPr>
                <w:rFonts w:asciiTheme="majorBidi" w:hAnsiTheme="majorBidi" w:cstheme="majorBidi"/>
                <w:spacing w:val="2"/>
                <w:sz w:val="20"/>
                <w:szCs w:val="20"/>
              </w:rPr>
              <w:t xml:space="preserve"> </w:t>
            </w:r>
            <w:r w:rsidRPr="00821C4E">
              <w:rPr>
                <w:rFonts w:asciiTheme="majorBidi" w:hAnsiTheme="majorBidi" w:cstheme="majorBidi"/>
                <w:spacing w:val="-5"/>
                <w:sz w:val="20"/>
                <w:szCs w:val="20"/>
              </w:rPr>
              <w:t>SD</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 xml:space="preserve">77.92 </w:t>
            </w:r>
            <w:r w:rsidRPr="00821C4E">
              <w:rPr>
                <w:rFonts w:asciiTheme="majorBidi" w:hAnsiTheme="majorBidi" w:cstheme="majorBidi"/>
                <w:spacing w:val="-10"/>
                <w:sz w:val="20"/>
                <w:szCs w:val="20"/>
              </w:rPr>
              <w:t>±</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78.22 ± </w:t>
            </w:r>
            <w:r w:rsidRPr="00821C4E">
              <w:rPr>
                <w:rFonts w:asciiTheme="majorBidi" w:hAnsiTheme="majorBidi" w:cstheme="majorBidi"/>
                <w:spacing w:val="-2"/>
                <w:sz w:val="20"/>
                <w:szCs w:val="20"/>
              </w:rPr>
              <w:t>10.07</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 xml:space="preserve">78.97 </w:t>
            </w:r>
            <w:r w:rsidRPr="00821C4E">
              <w:rPr>
                <w:rFonts w:asciiTheme="majorBidi" w:hAnsiTheme="majorBidi" w:cstheme="majorBidi"/>
                <w:spacing w:val="-10"/>
                <w:sz w:val="20"/>
                <w:szCs w:val="20"/>
              </w:rPr>
              <w:t>±</w:t>
            </w:r>
          </w:p>
        </w:tc>
        <w:tc>
          <w:tcPr>
            <w:tcW w:w="502"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F:0.996,</w:t>
            </w:r>
          </w:p>
        </w:tc>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10.18</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10.22</w:t>
            </w:r>
          </w:p>
        </w:tc>
        <w:tc>
          <w:tcPr>
            <w:tcW w:w="502"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p=0.370</w:t>
            </w:r>
          </w:p>
        </w:tc>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z w:val="20"/>
                <w:szCs w:val="20"/>
              </w:rPr>
              <w:t>Height</w:t>
            </w:r>
            <w:r w:rsidRPr="00821C4E">
              <w:rPr>
                <w:rFonts w:asciiTheme="majorBidi" w:hAnsiTheme="majorBidi" w:cstheme="majorBidi"/>
                <w:spacing w:val="-1"/>
                <w:sz w:val="20"/>
                <w:szCs w:val="20"/>
              </w:rPr>
              <w:t xml:space="preserve"> </w:t>
            </w:r>
            <w:r w:rsidRPr="00821C4E">
              <w:rPr>
                <w:rFonts w:asciiTheme="majorBidi" w:hAnsiTheme="majorBidi" w:cstheme="majorBidi"/>
                <w:spacing w:val="-5"/>
                <w:sz w:val="20"/>
                <w:szCs w:val="20"/>
              </w:rPr>
              <w:t>(m)</w:t>
            </w: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 xml:space="preserve">Median </w:t>
            </w:r>
            <w:r w:rsidRPr="00821C4E">
              <w:rPr>
                <w:rFonts w:asciiTheme="majorBidi" w:hAnsiTheme="majorBidi" w:cstheme="majorBidi"/>
                <w:spacing w:val="-2"/>
                <w:sz w:val="20"/>
                <w:szCs w:val="20"/>
              </w:rPr>
              <w:t>(IQR)</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4"/>
                <w:sz w:val="20"/>
                <w:szCs w:val="20"/>
              </w:rPr>
              <w:t>1.67</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1.68</w:t>
            </w:r>
            <w:r w:rsidRPr="00821C4E">
              <w:rPr>
                <w:rFonts w:asciiTheme="majorBidi" w:hAnsiTheme="majorBidi" w:cstheme="majorBidi"/>
                <w:spacing w:val="-4"/>
                <w:sz w:val="20"/>
                <w:szCs w:val="20"/>
              </w:rPr>
              <w:t xml:space="preserve"> </w:t>
            </w:r>
            <w:r w:rsidRPr="00821C4E">
              <w:rPr>
                <w:rFonts w:asciiTheme="majorBidi" w:hAnsiTheme="majorBidi" w:cstheme="majorBidi"/>
                <w:sz w:val="20"/>
                <w:szCs w:val="20"/>
              </w:rPr>
              <w:t>(1.63-</w:t>
            </w:r>
            <w:r w:rsidRPr="00821C4E">
              <w:rPr>
                <w:rFonts w:asciiTheme="majorBidi" w:hAnsiTheme="majorBidi" w:cstheme="majorBidi"/>
                <w:spacing w:val="-2"/>
                <w:sz w:val="20"/>
                <w:szCs w:val="20"/>
              </w:rPr>
              <w:t>1.71)</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4"/>
                <w:sz w:val="20"/>
                <w:szCs w:val="20"/>
              </w:rPr>
              <w:t>1.67</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H:0.078,</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nil"/>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nil"/>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(1.63-</w:t>
            </w:r>
          </w:p>
        </w:tc>
        <w:tc>
          <w:tcPr>
            <w:tcW w:w="843" w:type="pct"/>
            <w:tcBorders>
              <w:top w:val="nil"/>
              <w:left w:val="single" w:sz="4" w:space="0" w:color="000000"/>
              <w:bottom w:val="nil"/>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(1.63-</w:t>
            </w:r>
          </w:p>
        </w:tc>
        <w:tc>
          <w:tcPr>
            <w:tcW w:w="502" w:type="pct"/>
            <w:tcBorders>
              <w:top w:val="nil"/>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p=0.962</w:t>
            </w:r>
          </w:p>
        </w:tc>
        <w:tc>
          <w:tcPr>
            <w:tcW w:w="659" w:type="pct"/>
            <w:tcBorders>
              <w:top w:val="nil"/>
              <w:left w:val="single" w:sz="4" w:space="0" w:color="000000"/>
              <w:bottom w:val="nil"/>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1.71)</w:t>
            </w:r>
          </w:p>
        </w:tc>
        <w:tc>
          <w:tcPr>
            <w:tcW w:w="843"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1.71)</w:t>
            </w:r>
          </w:p>
        </w:tc>
        <w:tc>
          <w:tcPr>
            <w:tcW w:w="502"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5"/>
                <w:sz w:val="20"/>
                <w:szCs w:val="20"/>
              </w:rPr>
              <w:t>BMI</w:t>
            </w:r>
          </w:p>
        </w:tc>
        <w:tc>
          <w:tcPr>
            <w:tcW w:w="918"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 xml:space="preserve">Median </w:t>
            </w:r>
            <w:r w:rsidRPr="00821C4E">
              <w:rPr>
                <w:rFonts w:asciiTheme="majorBidi" w:hAnsiTheme="majorBidi" w:cstheme="majorBidi"/>
                <w:spacing w:val="-2"/>
                <w:sz w:val="20"/>
                <w:szCs w:val="20"/>
              </w:rPr>
              <w:t>(IQR)</w:t>
            </w:r>
          </w:p>
        </w:tc>
        <w:tc>
          <w:tcPr>
            <w:tcW w:w="766"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27.85</w:t>
            </w:r>
          </w:p>
        </w:tc>
        <w:tc>
          <w:tcPr>
            <w:tcW w:w="843"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27.72 </w:t>
            </w:r>
            <w:r w:rsidRPr="00821C4E">
              <w:rPr>
                <w:rFonts w:asciiTheme="majorBidi" w:hAnsiTheme="majorBidi" w:cstheme="majorBidi"/>
                <w:spacing w:val="-2"/>
                <w:sz w:val="20"/>
                <w:szCs w:val="20"/>
              </w:rPr>
              <w:t>(25.15-</w:t>
            </w:r>
          </w:p>
        </w:tc>
        <w:tc>
          <w:tcPr>
            <w:tcW w:w="654"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28.14</w:t>
            </w:r>
          </w:p>
        </w:tc>
        <w:tc>
          <w:tcPr>
            <w:tcW w:w="502"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H:1.882,</w:t>
            </w:r>
          </w:p>
        </w:tc>
        <w:tc>
          <w:tcPr>
            <w:tcW w:w="659" w:type="pct"/>
            <w:tcBorders>
              <w:top w:val="single" w:sz="4" w:space="0" w:color="000000"/>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pacing w:val="-2"/>
                <w:sz w:val="20"/>
                <w:szCs w:val="20"/>
              </w:rPr>
              <w:t>(kg/m2)</w:t>
            </w:r>
          </w:p>
        </w:tc>
        <w:tc>
          <w:tcPr>
            <w:tcW w:w="918" w:type="pct"/>
            <w:tcBorders>
              <w:top w:val="nil"/>
              <w:left w:val="single" w:sz="4" w:space="0" w:color="000000"/>
              <w:bottom w:val="nil"/>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(24.96-</w:t>
            </w:r>
          </w:p>
        </w:tc>
        <w:tc>
          <w:tcPr>
            <w:tcW w:w="843" w:type="pct"/>
            <w:tcBorders>
              <w:top w:val="nil"/>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pacing w:val="-2"/>
                <w:sz w:val="20"/>
                <w:szCs w:val="20"/>
              </w:rPr>
              <w:t>30.81)</w:t>
            </w:r>
          </w:p>
        </w:tc>
        <w:tc>
          <w:tcPr>
            <w:tcW w:w="654" w:type="pct"/>
            <w:tcBorders>
              <w:top w:val="nil"/>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(25.39-</w:t>
            </w:r>
          </w:p>
        </w:tc>
        <w:tc>
          <w:tcPr>
            <w:tcW w:w="502" w:type="pct"/>
            <w:tcBorders>
              <w:top w:val="nil"/>
              <w:left w:val="single" w:sz="4" w:space="0" w:color="000000"/>
              <w:bottom w:val="nil"/>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p=0.390</w:t>
            </w:r>
          </w:p>
        </w:tc>
        <w:tc>
          <w:tcPr>
            <w:tcW w:w="659" w:type="pct"/>
            <w:tcBorders>
              <w:top w:val="nil"/>
              <w:left w:val="single" w:sz="4" w:space="0" w:color="000000"/>
              <w:bottom w:val="nil"/>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30.48)</w:t>
            </w:r>
          </w:p>
        </w:tc>
        <w:tc>
          <w:tcPr>
            <w:tcW w:w="843"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shd w:val="clear" w:color="auto" w:fill="E7FFFF"/>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30.86)</w:t>
            </w:r>
          </w:p>
        </w:tc>
        <w:tc>
          <w:tcPr>
            <w:tcW w:w="502"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tcBorders>
              <w:top w:val="nil"/>
              <w:left w:val="single" w:sz="4" w:space="0" w:color="000000"/>
              <w:bottom w:val="single" w:sz="4" w:space="0" w:color="000000"/>
              <w:right w:val="single" w:sz="4" w:space="0" w:color="000000"/>
            </w:tcBorders>
            <w:shd w:val="clear" w:color="auto" w:fill="E7FFFF"/>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10"/>
              <w:jc w:val="lowKashida"/>
              <w:rPr>
                <w:rFonts w:asciiTheme="majorBidi" w:hAnsiTheme="majorBidi" w:cstheme="majorBidi"/>
                <w:sz w:val="20"/>
                <w:szCs w:val="20"/>
              </w:rPr>
            </w:pPr>
            <w:r w:rsidRPr="00821C4E">
              <w:rPr>
                <w:rFonts w:asciiTheme="majorBidi" w:hAnsiTheme="majorBidi" w:cstheme="majorBidi"/>
                <w:sz w:val="20"/>
                <w:szCs w:val="20"/>
              </w:rPr>
              <w:t>WC</w:t>
            </w:r>
            <w:r w:rsidRPr="00821C4E">
              <w:rPr>
                <w:rFonts w:asciiTheme="majorBidi" w:hAnsiTheme="majorBidi" w:cstheme="majorBidi"/>
                <w:spacing w:val="2"/>
                <w:sz w:val="20"/>
                <w:szCs w:val="20"/>
              </w:rPr>
              <w:t xml:space="preserve"> </w:t>
            </w:r>
            <w:r w:rsidRPr="00821C4E">
              <w:rPr>
                <w:rFonts w:asciiTheme="majorBidi" w:hAnsiTheme="majorBidi" w:cstheme="majorBidi"/>
                <w:spacing w:val="-4"/>
                <w:sz w:val="20"/>
                <w:szCs w:val="20"/>
              </w:rPr>
              <w:t>(cm)</w:t>
            </w: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Mean</w:t>
            </w:r>
            <w:r w:rsidRPr="00821C4E">
              <w:rPr>
                <w:rFonts w:asciiTheme="majorBidi" w:hAnsiTheme="majorBidi" w:cstheme="majorBidi"/>
                <w:spacing w:val="1"/>
                <w:sz w:val="20"/>
                <w:szCs w:val="20"/>
              </w:rPr>
              <w:t xml:space="preserve"> </w:t>
            </w:r>
            <w:r w:rsidRPr="00821C4E">
              <w:rPr>
                <w:rFonts w:asciiTheme="majorBidi" w:hAnsiTheme="majorBidi" w:cstheme="majorBidi"/>
                <w:sz w:val="20"/>
                <w:szCs w:val="20"/>
              </w:rPr>
              <w:t>±</w:t>
            </w:r>
            <w:r w:rsidRPr="00821C4E">
              <w:rPr>
                <w:rFonts w:asciiTheme="majorBidi" w:hAnsiTheme="majorBidi" w:cstheme="majorBidi"/>
                <w:spacing w:val="2"/>
                <w:sz w:val="20"/>
                <w:szCs w:val="20"/>
              </w:rPr>
              <w:t xml:space="preserve"> </w:t>
            </w:r>
            <w:r w:rsidRPr="00821C4E">
              <w:rPr>
                <w:rFonts w:asciiTheme="majorBidi" w:hAnsiTheme="majorBidi" w:cstheme="majorBidi"/>
                <w:spacing w:val="-5"/>
                <w:sz w:val="20"/>
                <w:szCs w:val="20"/>
              </w:rPr>
              <w:t>SD</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 xml:space="preserve">102.16 </w:t>
            </w:r>
            <w:r w:rsidRPr="00821C4E">
              <w:rPr>
                <w:rFonts w:asciiTheme="majorBidi" w:hAnsiTheme="majorBidi" w:cstheme="majorBidi"/>
                <w:spacing w:val="-10"/>
                <w:sz w:val="20"/>
                <w:szCs w:val="20"/>
              </w:rPr>
              <w:t>±</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 xml:space="preserve">101.17 ± </w:t>
            </w:r>
            <w:r w:rsidRPr="00821C4E">
              <w:rPr>
                <w:rFonts w:asciiTheme="majorBidi" w:hAnsiTheme="majorBidi" w:cstheme="majorBidi"/>
                <w:spacing w:val="-2"/>
                <w:sz w:val="20"/>
                <w:szCs w:val="20"/>
              </w:rPr>
              <w:t>10.34</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 xml:space="preserve">101.81 </w:t>
            </w:r>
            <w:r w:rsidRPr="00821C4E">
              <w:rPr>
                <w:rFonts w:asciiTheme="majorBidi" w:hAnsiTheme="majorBidi" w:cstheme="majorBidi"/>
                <w:spacing w:val="-10"/>
                <w:sz w:val="20"/>
                <w:szCs w:val="20"/>
              </w:rPr>
              <w:t>±</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F:0.706,</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10.64</w:t>
            </w:r>
          </w:p>
        </w:tc>
        <w:tc>
          <w:tcPr>
            <w:tcW w:w="843"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10.46</w:t>
            </w:r>
          </w:p>
        </w:tc>
        <w:tc>
          <w:tcPr>
            <w:tcW w:w="502"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p=0.494</w:t>
            </w: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Female</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102.30</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100.18</w:t>
            </w:r>
            <w:r w:rsidRPr="00821C4E">
              <w:rPr>
                <w:rFonts w:asciiTheme="majorBidi" w:hAnsiTheme="majorBidi" w:cstheme="majorBidi"/>
                <w:spacing w:val="-5"/>
                <w:sz w:val="20"/>
                <w:szCs w:val="20"/>
              </w:rPr>
              <w:t xml:space="preserve"> </w:t>
            </w:r>
            <w:r w:rsidRPr="00821C4E">
              <w:rPr>
                <w:rFonts w:asciiTheme="majorBidi" w:hAnsiTheme="majorBidi" w:cstheme="majorBidi"/>
                <w:spacing w:val="-10"/>
                <w:sz w:val="20"/>
                <w:szCs w:val="20"/>
              </w:rPr>
              <w:t>±</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101.32</w:t>
            </w:r>
            <w:r w:rsidRPr="00821C4E">
              <w:rPr>
                <w:rFonts w:asciiTheme="majorBidi" w:hAnsiTheme="majorBidi" w:cstheme="majorBidi"/>
                <w:spacing w:val="-5"/>
                <w:sz w:val="20"/>
                <w:szCs w:val="20"/>
              </w:rPr>
              <w:t xml:space="preserve"> </w:t>
            </w:r>
            <w:r w:rsidRPr="00821C4E">
              <w:rPr>
                <w:rFonts w:asciiTheme="majorBidi" w:hAnsiTheme="majorBidi" w:cstheme="majorBidi"/>
                <w:spacing w:val="-10"/>
                <w:sz w:val="20"/>
                <w:szCs w:val="20"/>
              </w:rPr>
              <w:t>±</w:t>
            </w: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0.2552</w:t>
            </w:r>
          </w:p>
        </w:tc>
        <w:tc>
          <w:tcPr>
            <w:tcW w:w="659"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w:t>
            </w:r>
            <w:r w:rsidRPr="00821C4E">
              <w:rPr>
                <w:rFonts w:asciiTheme="majorBidi" w:hAnsiTheme="majorBidi" w:cstheme="majorBidi"/>
                <w:spacing w:val="-1"/>
                <w:sz w:val="20"/>
                <w:szCs w:val="20"/>
              </w:rPr>
              <w:t xml:space="preserve"> </w:t>
            </w:r>
            <w:r w:rsidRPr="00821C4E">
              <w:rPr>
                <w:rFonts w:asciiTheme="majorBidi" w:hAnsiTheme="majorBidi" w:cstheme="majorBidi"/>
                <w:spacing w:val="-4"/>
                <w:sz w:val="20"/>
                <w:szCs w:val="20"/>
              </w:rPr>
              <w:t>10.52</w:t>
            </w:r>
          </w:p>
        </w:tc>
        <w:tc>
          <w:tcPr>
            <w:tcW w:w="843"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pacing w:val="-2"/>
                <w:sz w:val="20"/>
                <w:szCs w:val="20"/>
              </w:rPr>
              <w:t>10.69</w:t>
            </w: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4"/>
                <w:sz w:val="20"/>
                <w:szCs w:val="20"/>
              </w:rPr>
              <w:t>9.91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r>
      <w:tr w:rsidR="00A67477" w:rsidRPr="00821C4E" w:rsidTr="00A67477">
        <w:trPr>
          <w:trHeight w:val="20"/>
        </w:trPr>
        <w:tc>
          <w:tcPr>
            <w:tcW w:w="659" w:type="pct"/>
            <w:vMerge w:val="restart"/>
            <w:tcBorders>
              <w:top w:val="single" w:sz="4" w:space="0" w:color="000000"/>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918"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4"/>
                <w:sz w:val="20"/>
                <w:szCs w:val="20"/>
              </w:rPr>
              <w:t>Male</w:t>
            </w:r>
          </w:p>
        </w:tc>
        <w:tc>
          <w:tcPr>
            <w:tcW w:w="766"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pacing w:val="-2"/>
                <w:sz w:val="20"/>
                <w:szCs w:val="20"/>
              </w:rPr>
              <w:t>102.06</w:t>
            </w:r>
          </w:p>
        </w:tc>
        <w:tc>
          <w:tcPr>
            <w:tcW w:w="843"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z w:val="20"/>
                <w:szCs w:val="20"/>
              </w:rPr>
              <w:t>101.80</w:t>
            </w:r>
            <w:r w:rsidRPr="00821C4E">
              <w:rPr>
                <w:rFonts w:asciiTheme="majorBidi" w:hAnsiTheme="majorBidi" w:cstheme="majorBidi"/>
                <w:spacing w:val="-5"/>
                <w:sz w:val="20"/>
                <w:szCs w:val="20"/>
              </w:rPr>
              <w:t xml:space="preserve"> </w:t>
            </w:r>
            <w:r w:rsidRPr="00821C4E">
              <w:rPr>
                <w:rFonts w:asciiTheme="majorBidi" w:hAnsiTheme="majorBidi" w:cstheme="majorBidi"/>
                <w:spacing w:val="-10"/>
                <w:sz w:val="20"/>
                <w:szCs w:val="20"/>
              </w:rPr>
              <w:t>±</w:t>
            </w:r>
          </w:p>
        </w:tc>
        <w:tc>
          <w:tcPr>
            <w:tcW w:w="654"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z w:val="20"/>
                <w:szCs w:val="20"/>
              </w:rPr>
              <w:t>102.13</w:t>
            </w:r>
            <w:r w:rsidRPr="00821C4E">
              <w:rPr>
                <w:rFonts w:asciiTheme="majorBidi" w:hAnsiTheme="majorBidi" w:cstheme="majorBidi"/>
                <w:spacing w:val="-5"/>
                <w:sz w:val="20"/>
                <w:szCs w:val="20"/>
              </w:rPr>
              <w:t xml:space="preserve"> </w:t>
            </w:r>
            <w:r w:rsidRPr="00821C4E">
              <w:rPr>
                <w:rFonts w:asciiTheme="majorBidi" w:hAnsiTheme="majorBidi" w:cstheme="majorBidi"/>
                <w:spacing w:val="-10"/>
                <w:sz w:val="20"/>
                <w:szCs w:val="20"/>
              </w:rPr>
              <w:t>±</w:t>
            </w:r>
          </w:p>
        </w:tc>
        <w:tc>
          <w:tcPr>
            <w:tcW w:w="502"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0.9568</w:t>
            </w:r>
          </w:p>
        </w:tc>
        <w:tc>
          <w:tcPr>
            <w:tcW w:w="659" w:type="pct"/>
            <w:tcBorders>
              <w:top w:val="single" w:sz="4" w:space="0" w:color="000000"/>
              <w:left w:val="single" w:sz="4" w:space="0" w:color="000000"/>
              <w:bottom w:val="nil"/>
              <w:right w:val="single" w:sz="4" w:space="0" w:color="000000"/>
            </w:tcBorders>
            <w:vAlign w:val="center"/>
            <w:hideMark/>
          </w:tcPr>
          <w:p w:rsidR="00A67477" w:rsidRPr="00821C4E" w:rsidRDefault="00A67477" w:rsidP="00821C4E">
            <w:pPr>
              <w:pStyle w:val="TableParagraph"/>
              <w:ind w:left="101"/>
              <w:jc w:val="lowKashida"/>
              <w:rPr>
                <w:rFonts w:asciiTheme="majorBidi" w:hAnsiTheme="majorBidi" w:cstheme="majorBidi"/>
                <w:sz w:val="20"/>
                <w:szCs w:val="20"/>
              </w:rPr>
            </w:pPr>
            <w:r w:rsidRPr="00821C4E">
              <w:rPr>
                <w:rFonts w:asciiTheme="majorBidi" w:hAnsiTheme="majorBidi" w:cstheme="majorBidi"/>
                <w:spacing w:val="-5"/>
                <w:sz w:val="20"/>
                <w:szCs w:val="20"/>
              </w:rPr>
              <w:t>NS</w:t>
            </w:r>
          </w:p>
        </w:tc>
      </w:tr>
      <w:tr w:rsidR="00A67477" w:rsidRPr="00821C4E"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821C4E" w:rsidRDefault="00A67477" w:rsidP="00821C4E">
            <w:pPr>
              <w:spacing w:after="0" w:line="240" w:lineRule="auto"/>
              <w:jc w:val="lowKashida"/>
              <w:rPr>
                <w:rFonts w:asciiTheme="majorBidi" w:eastAsia="Times New Roman" w:hAnsiTheme="majorBidi" w:cstheme="majorBidi"/>
                <w:sz w:val="20"/>
                <w:szCs w:val="20"/>
              </w:rPr>
            </w:pPr>
          </w:p>
        </w:tc>
        <w:tc>
          <w:tcPr>
            <w:tcW w:w="918"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766"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jc w:val="lowKashida"/>
              <w:rPr>
                <w:rFonts w:asciiTheme="majorBidi" w:hAnsiTheme="majorBidi" w:cstheme="majorBidi"/>
                <w:sz w:val="20"/>
                <w:szCs w:val="20"/>
              </w:rPr>
            </w:pPr>
            <w:r w:rsidRPr="00821C4E">
              <w:rPr>
                <w:rFonts w:asciiTheme="majorBidi" w:hAnsiTheme="majorBidi" w:cstheme="majorBidi"/>
                <w:sz w:val="20"/>
                <w:szCs w:val="20"/>
              </w:rPr>
              <w:t>±</w:t>
            </w:r>
            <w:r w:rsidRPr="00821C4E">
              <w:rPr>
                <w:rFonts w:asciiTheme="majorBidi" w:hAnsiTheme="majorBidi" w:cstheme="majorBidi"/>
                <w:spacing w:val="-1"/>
                <w:sz w:val="20"/>
                <w:szCs w:val="20"/>
              </w:rPr>
              <w:t xml:space="preserve"> </w:t>
            </w:r>
            <w:r w:rsidRPr="00821C4E">
              <w:rPr>
                <w:rFonts w:asciiTheme="majorBidi" w:hAnsiTheme="majorBidi" w:cstheme="majorBidi"/>
                <w:spacing w:val="-4"/>
                <w:sz w:val="20"/>
                <w:szCs w:val="20"/>
              </w:rPr>
              <w:t>10.74</w:t>
            </w:r>
          </w:p>
        </w:tc>
        <w:tc>
          <w:tcPr>
            <w:tcW w:w="843"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3"/>
              <w:jc w:val="lowKashida"/>
              <w:rPr>
                <w:rFonts w:asciiTheme="majorBidi" w:hAnsiTheme="majorBidi" w:cstheme="majorBidi"/>
                <w:sz w:val="20"/>
                <w:szCs w:val="20"/>
              </w:rPr>
            </w:pPr>
            <w:r w:rsidRPr="00821C4E">
              <w:rPr>
                <w:rFonts w:asciiTheme="majorBidi" w:hAnsiTheme="majorBidi" w:cstheme="majorBidi"/>
                <w:spacing w:val="-2"/>
                <w:sz w:val="20"/>
                <w:szCs w:val="20"/>
              </w:rPr>
              <w:t>10.08</w:t>
            </w:r>
          </w:p>
        </w:tc>
        <w:tc>
          <w:tcPr>
            <w:tcW w:w="654" w:type="pct"/>
            <w:tcBorders>
              <w:top w:val="nil"/>
              <w:left w:val="single" w:sz="4" w:space="0" w:color="000000"/>
              <w:bottom w:val="single" w:sz="4" w:space="0" w:color="000000"/>
              <w:right w:val="single" w:sz="4" w:space="0" w:color="000000"/>
            </w:tcBorders>
            <w:vAlign w:val="center"/>
            <w:hideMark/>
          </w:tcPr>
          <w:p w:rsidR="00A67477" w:rsidRPr="00821C4E" w:rsidRDefault="00A67477" w:rsidP="00821C4E">
            <w:pPr>
              <w:pStyle w:val="TableParagraph"/>
              <w:ind w:left="107"/>
              <w:jc w:val="lowKashida"/>
              <w:rPr>
                <w:rFonts w:asciiTheme="majorBidi" w:hAnsiTheme="majorBidi" w:cstheme="majorBidi"/>
                <w:sz w:val="20"/>
                <w:szCs w:val="20"/>
              </w:rPr>
            </w:pPr>
            <w:r w:rsidRPr="00821C4E">
              <w:rPr>
                <w:rFonts w:asciiTheme="majorBidi" w:hAnsiTheme="majorBidi" w:cstheme="majorBidi"/>
                <w:spacing w:val="-2"/>
                <w:sz w:val="20"/>
                <w:szCs w:val="20"/>
              </w:rPr>
              <w:t>10.81</w:t>
            </w:r>
          </w:p>
        </w:tc>
        <w:tc>
          <w:tcPr>
            <w:tcW w:w="502"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c>
          <w:tcPr>
            <w:tcW w:w="659" w:type="pct"/>
            <w:tcBorders>
              <w:top w:val="nil"/>
              <w:left w:val="single" w:sz="4" w:space="0" w:color="000000"/>
              <w:bottom w:val="single" w:sz="4" w:space="0" w:color="000000"/>
              <w:right w:val="single" w:sz="4" w:space="0" w:color="000000"/>
            </w:tcBorders>
            <w:vAlign w:val="center"/>
          </w:tcPr>
          <w:p w:rsidR="00A67477" w:rsidRPr="00821C4E" w:rsidRDefault="00A67477" w:rsidP="00821C4E">
            <w:pPr>
              <w:pStyle w:val="TableParagraph"/>
              <w:jc w:val="lowKashida"/>
              <w:rPr>
                <w:rFonts w:asciiTheme="majorBidi" w:hAnsiTheme="majorBidi" w:cstheme="majorBidi"/>
                <w:sz w:val="20"/>
                <w:szCs w:val="20"/>
              </w:rPr>
            </w:pPr>
          </w:p>
        </w:tc>
      </w:tr>
    </w:tbl>
    <w:p w:rsidR="0022548B" w:rsidRDefault="0022548B" w:rsidP="00A67477">
      <w:pPr>
        <w:spacing w:before="240" w:after="0" w:line="240" w:lineRule="auto"/>
        <w:jc w:val="lowKashida"/>
        <w:rPr>
          <w:rFonts w:asciiTheme="majorBidi" w:eastAsia="Times New Roman" w:hAnsiTheme="majorBidi" w:cstheme="majorBidi"/>
          <w:sz w:val="24"/>
          <w:szCs w:val="24"/>
        </w:rPr>
      </w:pPr>
    </w:p>
    <w:p w:rsidR="005B3E7C" w:rsidRPr="005B3E7C" w:rsidRDefault="005B3E7C" w:rsidP="005B3E7C">
      <w:pPr>
        <w:pStyle w:val="BodyText"/>
        <w:spacing w:before="240" w:after="240"/>
        <w:ind w:left="360"/>
        <w:jc w:val="lowKashida"/>
        <w:rPr>
          <w:rFonts w:asciiTheme="majorBidi" w:hAnsiTheme="majorBidi" w:cstheme="majorBidi"/>
          <w:sz w:val="24"/>
          <w:szCs w:val="24"/>
        </w:rPr>
      </w:pPr>
      <w:bookmarkStart w:id="4" w:name="Weight_in_study_cases_according_to_disea"/>
      <w:bookmarkStart w:id="5" w:name="Height_in_study_cases_according_to_disea"/>
      <w:bookmarkEnd w:id="4"/>
      <w:bookmarkEnd w:id="5"/>
      <w:r w:rsidRPr="005B3E7C">
        <w:rPr>
          <w:rFonts w:asciiTheme="majorBidi" w:hAnsiTheme="majorBidi" w:cstheme="majorBidi"/>
          <w:sz w:val="24"/>
          <w:szCs w:val="24"/>
        </w:rPr>
        <w:t>Table 2 indicates that Hypertension (HTN) was prevalent across all three groups: 44.8% in CAD, 49.8% in CVD, and 44.2% in PAD.  The CVD group had the highest ratio; nevertheless, there was no significant difference (χ² = 2.438, p = 0.296) in the distribution of hypertension among illness classes.  The mean systolic blood pressure (SBP) did not exhibit significant differences across the groups: CAD patients 127.54 ± 11.62 mmHg, CVD patients 127.77 ± 11.75 mmHg, and PAD patients 127.04 ± 11.22 mmHg (F = 0.366, p = 0.694), indicating comparable control or baseline levels of systolic pressure across the groups.</w:t>
      </w:r>
    </w:p>
    <w:p w:rsidR="005B3E7C" w:rsidRPr="005B3E7C" w:rsidRDefault="005B3E7C" w:rsidP="005B3E7C">
      <w:pPr>
        <w:pStyle w:val="BodyText"/>
        <w:spacing w:before="240" w:after="240"/>
        <w:ind w:left="360"/>
        <w:jc w:val="lowKashida"/>
        <w:rPr>
          <w:rFonts w:asciiTheme="majorBidi" w:hAnsiTheme="majorBidi" w:cstheme="majorBidi"/>
          <w:sz w:val="24"/>
          <w:szCs w:val="24"/>
        </w:rPr>
      </w:pPr>
      <w:r w:rsidRPr="005B3E7C">
        <w:rPr>
          <w:rFonts w:asciiTheme="majorBidi" w:hAnsiTheme="majorBidi" w:cstheme="majorBidi"/>
          <w:sz w:val="24"/>
          <w:szCs w:val="24"/>
        </w:rPr>
        <w:t xml:space="preserve"> Diastolic blood pressure (DBP) was seen to be elevated in cardiovascular disease (CVD) at 76.01 ± 8.61 mmHg, relative to coronary artery disease (CAD) at 74.98 ± 8.85 mmHg and peripheral artery disease (PAD) at 74.50 ± 8.67 mmHg; however, this difference did not achieve statistical significance (F = 2.582, p = 0.076).  The prevalence of </w:t>
      </w:r>
      <w:proofErr w:type="spellStart"/>
      <w:r w:rsidRPr="005B3E7C">
        <w:rPr>
          <w:rFonts w:asciiTheme="majorBidi" w:hAnsiTheme="majorBidi" w:cstheme="majorBidi"/>
          <w:sz w:val="24"/>
          <w:szCs w:val="24"/>
        </w:rPr>
        <w:t>dyslipidaemia</w:t>
      </w:r>
      <w:proofErr w:type="spellEnd"/>
      <w:r w:rsidRPr="005B3E7C">
        <w:rPr>
          <w:rFonts w:asciiTheme="majorBidi" w:hAnsiTheme="majorBidi" w:cstheme="majorBidi"/>
          <w:sz w:val="24"/>
          <w:szCs w:val="24"/>
        </w:rPr>
        <w:t xml:space="preserve"> was comparable across all disease types: CAD (45.1%), CVD (45.2%), and PAD (47.4%).  The homogeneity was confirmed by a non-significant finding (χ² = 0.476, p = 0.788), demonstrating no disease-specific differences in lipid abnormalities.</w:t>
      </w:r>
    </w:p>
    <w:p w:rsidR="005B3E7C" w:rsidRPr="005B3E7C" w:rsidRDefault="005B3E7C" w:rsidP="005B3E7C">
      <w:pPr>
        <w:pStyle w:val="BodyText"/>
        <w:spacing w:before="240" w:after="240"/>
        <w:ind w:left="360"/>
        <w:jc w:val="lowKashida"/>
        <w:rPr>
          <w:rFonts w:asciiTheme="majorBidi" w:hAnsiTheme="majorBidi" w:cstheme="majorBidi"/>
          <w:sz w:val="24"/>
          <w:szCs w:val="24"/>
        </w:rPr>
      </w:pPr>
      <w:r>
        <w:rPr>
          <w:rFonts w:asciiTheme="majorBidi" w:hAnsiTheme="majorBidi" w:cstheme="majorBidi"/>
          <w:sz w:val="24"/>
          <w:szCs w:val="24"/>
        </w:rPr>
        <w:t>A</w:t>
      </w:r>
      <w:r w:rsidRPr="005B3E7C">
        <w:rPr>
          <w:rFonts w:asciiTheme="majorBidi" w:hAnsiTheme="majorBidi" w:cstheme="majorBidi"/>
          <w:sz w:val="24"/>
          <w:szCs w:val="24"/>
        </w:rPr>
        <w:t xml:space="preserve"> 19.6% of patients with coronary artery disease (CAD), 17.6% of patients with cerebrovascular disease (CVD), and 18.1% of patients with peripheral artery disease (PAD) had a familial history of atherosclerotic coronary artery disease.  No significant difference was observed (χ² = 0.438, p = 0.803), indicating a uniform genetic risk across vascular characteristics.  Diabetes mellitus (DM) was common across all patients, affecting 47.0% of those with coronary artery disease (CAD), 49.5% with cerebrovascular disease (CVD), and 46.1% with peripheral artery disease (PAD).  The prevalence of DM did not substantially vary by disease type (χ² = 0.823, p = 0.663).</w:t>
      </w:r>
    </w:p>
    <w:p w:rsidR="005B3E7C" w:rsidRPr="005B3E7C" w:rsidRDefault="005B3E7C" w:rsidP="005B3E7C">
      <w:pPr>
        <w:pStyle w:val="BodyText"/>
        <w:spacing w:before="240" w:after="240"/>
        <w:ind w:left="360"/>
        <w:jc w:val="lowKashida"/>
        <w:rPr>
          <w:rFonts w:asciiTheme="majorBidi" w:hAnsiTheme="majorBidi" w:cstheme="majorBidi"/>
          <w:sz w:val="24"/>
          <w:szCs w:val="24"/>
        </w:rPr>
      </w:pPr>
      <w:r w:rsidRPr="005B3E7C">
        <w:rPr>
          <w:rFonts w:asciiTheme="majorBidi" w:hAnsiTheme="majorBidi" w:cstheme="majorBidi"/>
          <w:sz w:val="24"/>
          <w:szCs w:val="24"/>
        </w:rPr>
        <w:t xml:space="preserve"> The prevalence of Type 2 Diabetes Mellitus (T2DM) was 24.9%, 27.2%, and 24.6% in Coronary Artery Disease (CAD), Cardiovascular Disease (CVD), and Peripheral Artery Disease (PAD), respectively, while the prevalence of Type 1 Diabetes Mellitus (T1DM) was 22.1%, 22.6%, and 21.5%, respectively.  No significant difference was seen between the distributions (χ² = 1.093, p = 0.895), suggesting analogous patterns of diabetes subtypes among patients with vascular disorders.</w:t>
      </w:r>
    </w:p>
    <w:p w:rsidR="005B3E7C" w:rsidRDefault="005B3E7C" w:rsidP="005B3E7C">
      <w:pPr>
        <w:pStyle w:val="BodyText"/>
        <w:spacing w:before="240" w:after="240"/>
        <w:ind w:left="360"/>
        <w:jc w:val="lowKashida"/>
        <w:rPr>
          <w:rFonts w:asciiTheme="majorBidi" w:hAnsiTheme="majorBidi" w:cstheme="majorBidi"/>
          <w:sz w:val="24"/>
          <w:szCs w:val="24"/>
        </w:rPr>
      </w:pPr>
      <w:r w:rsidRPr="005B3E7C">
        <w:rPr>
          <w:rFonts w:asciiTheme="majorBidi" w:hAnsiTheme="majorBidi" w:cstheme="majorBidi"/>
          <w:sz w:val="24"/>
          <w:szCs w:val="24"/>
        </w:rPr>
        <w:t xml:space="preserve"> The assessment of diabetic complications indicated that a minimal number of patients experienced multiple diabetes-related complications; 82.3% in the CAD group, 78.4% in the CVD group, and 83.0% in the PAD group reported none.  No substantial difference existed between the two groups (χ² = 2.300, p = 0.317), indicating that the burden of complications cannot be readily attributed to illness type.</w:t>
      </w:r>
    </w:p>
    <w:p w:rsidR="00A67477" w:rsidRPr="00A67477" w:rsidRDefault="00A67477" w:rsidP="005B3E7C">
      <w:pPr>
        <w:pStyle w:val="BodyText"/>
        <w:spacing w:before="240" w:after="240"/>
        <w:ind w:left="360"/>
        <w:jc w:val="lowKashida"/>
        <w:rPr>
          <w:rFonts w:asciiTheme="majorBidi" w:hAnsiTheme="majorBidi" w:cstheme="majorBidi"/>
          <w:sz w:val="24"/>
          <w:szCs w:val="24"/>
        </w:rPr>
      </w:pPr>
      <w:r w:rsidRPr="00A67477">
        <w:rPr>
          <w:rFonts w:asciiTheme="majorBidi" w:hAnsiTheme="majorBidi" w:cstheme="majorBidi"/>
          <w:b/>
          <w:bCs/>
          <w:sz w:val="24"/>
          <w:szCs w:val="24"/>
        </w:rPr>
        <w:t xml:space="preserve">Tables </w:t>
      </w:r>
      <w:r w:rsidR="00B82D86">
        <w:rPr>
          <w:rFonts w:asciiTheme="majorBidi" w:hAnsiTheme="majorBidi" w:cstheme="majorBidi"/>
          <w:b/>
          <w:bCs/>
          <w:sz w:val="24"/>
          <w:szCs w:val="24"/>
        </w:rPr>
        <w:t>2</w:t>
      </w:r>
      <w:r w:rsidRPr="00A67477">
        <w:rPr>
          <w:rFonts w:asciiTheme="majorBidi" w:hAnsiTheme="majorBidi" w:cstheme="majorBidi"/>
          <w:b/>
          <w:sz w:val="24"/>
          <w:szCs w:val="24"/>
        </w:rPr>
        <w:t>:</w:t>
      </w:r>
      <w:r w:rsidRPr="00A67477">
        <w:rPr>
          <w:rFonts w:asciiTheme="majorBidi" w:hAnsiTheme="majorBidi" w:cstheme="majorBidi"/>
          <w:bCs/>
          <w:sz w:val="24"/>
          <w:szCs w:val="24"/>
        </w:rPr>
        <w:t xml:space="preserve"> </w:t>
      </w:r>
      <w:r w:rsidRPr="00A67477">
        <w:rPr>
          <w:rFonts w:asciiTheme="majorBidi" w:hAnsiTheme="majorBidi" w:cstheme="majorBidi"/>
          <w:sz w:val="24"/>
          <w:szCs w:val="24"/>
        </w:rPr>
        <w:t>CVS risk factors in studied groups according to disease type.</w:t>
      </w:r>
    </w:p>
    <w:tbl>
      <w:tblPr>
        <w:tblW w:w="49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8"/>
        <w:gridCol w:w="1003"/>
        <w:gridCol w:w="1317"/>
        <w:gridCol w:w="1673"/>
        <w:gridCol w:w="1142"/>
        <w:gridCol w:w="1293"/>
        <w:gridCol w:w="1380"/>
      </w:tblGrid>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Parameter</w:t>
            </w: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Category</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right="242"/>
              <w:jc w:val="lowKashida"/>
              <w:rPr>
                <w:rFonts w:asciiTheme="majorBidi" w:hAnsiTheme="majorBidi" w:cstheme="majorBidi"/>
                <w:sz w:val="20"/>
                <w:szCs w:val="20"/>
              </w:rPr>
            </w:pPr>
            <w:r w:rsidRPr="00B82D86">
              <w:rPr>
                <w:rFonts w:asciiTheme="majorBidi" w:hAnsiTheme="majorBidi" w:cstheme="majorBidi"/>
                <w:spacing w:val="-2"/>
                <w:sz w:val="20"/>
                <w:szCs w:val="20"/>
              </w:rPr>
              <w:t xml:space="preserve">Coronary </w:t>
            </w:r>
            <w:r w:rsidRPr="00B82D86">
              <w:rPr>
                <w:rFonts w:asciiTheme="majorBidi" w:hAnsiTheme="majorBidi" w:cstheme="majorBidi"/>
                <w:spacing w:val="-2"/>
                <w:sz w:val="20"/>
                <w:szCs w:val="20"/>
              </w:rPr>
              <w:lastRenderedPageBreak/>
              <w:t>artery disease</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(n=317)</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pacing w:val="-2"/>
                <w:sz w:val="20"/>
                <w:szCs w:val="20"/>
              </w:rPr>
              <w:lastRenderedPageBreak/>
              <w:t xml:space="preserve">Cerebrovascular </w:t>
            </w:r>
            <w:r w:rsidRPr="00B82D86">
              <w:rPr>
                <w:rFonts w:asciiTheme="majorBidi" w:hAnsiTheme="majorBidi" w:cstheme="majorBidi"/>
                <w:sz w:val="20"/>
                <w:szCs w:val="20"/>
              </w:rPr>
              <w:lastRenderedPageBreak/>
              <w:t>disease</w:t>
            </w:r>
            <w:r w:rsidRPr="00B82D86">
              <w:rPr>
                <w:rFonts w:asciiTheme="majorBidi" w:hAnsiTheme="majorBidi" w:cstheme="majorBidi"/>
                <w:spacing w:val="4"/>
                <w:sz w:val="20"/>
                <w:szCs w:val="20"/>
              </w:rPr>
              <w:t xml:space="preserve"> </w:t>
            </w:r>
            <w:r w:rsidRPr="00B82D86">
              <w:rPr>
                <w:rFonts w:asciiTheme="majorBidi" w:hAnsiTheme="majorBidi" w:cstheme="majorBidi"/>
                <w:spacing w:val="-2"/>
                <w:sz w:val="20"/>
                <w:szCs w:val="20"/>
              </w:rPr>
              <w:t>(n=301)</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right="41"/>
              <w:jc w:val="lowKashida"/>
              <w:rPr>
                <w:rFonts w:asciiTheme="majorBidi" w:hAnsiTheme="majorBidi" w:cstheme="majorBidi"/>
                <w:sz w:val="20"/>
                <w:szCs w:val="20"/>
              </w:rPr>
            </w:pPr>
            <w:r w:rsidRPr="00B82D86">
              <w:rPr>
                <w:rFonts w:asciiTheme="majorBidi" w:hAnsiTheme="majorBidi" w:cstheme="majorBidi"/>
                <w:spacing w:val="-2"/>
                <w:sz w:val="20"/>
                <w:szCs w:val="20"/>
              </w:rPr>
              <w:lastRenderedPageBreak/>
              <w:t xml:space="preserve">Peripheral </w:t>
            </w:r>
            <w:r w:rsidRPr="00B82D86">
              <w:rPr>
                <w:rFonts w:asciiTheme="majorBidi" w:hAnsiTheme="majorBidi" w:cstheme="majorBidi"/>
                <w:spacing w:val="-2"/>
                <w:sz w:val="20"/>
                <w:szCs w:val="20"/>
              </w:rPr>
              <w:lastRenderedPageBreak/>
              <w:t>artery disease</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(n=382)</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lastRenderedPageBreak/>
              <w:t>p-value</w:t>
            </w: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24"/>
              <w:jc w:val="lowKashida"/>
              <w:rPr>
                <w:rFonts w:asciiTheme="majorBidi" w:hAnsiTheme="majorBidi" w:cstheme="majorBidi"/>
                <w:sz w:val="20"/>
                <w:szCs w:val="20"/>
              </w:rPr>
            </w:pPr>
            <w:r w:rsidRPr="00B82D86">
              <w:rPr>
                <w:rFonts w:asciiTheme="majorBidi" w:hAnsiTheme="majorBidi" w:cstheme="majorBidi"/>
                <w:spacing w:val="-2"/>
                <w:sz w:val="20"/>
                <w:szCs w:val="20"/>
              </w:rPr>
              <w:t>Significance</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5"/>
                <w:sz w:val="20"/>
                <w:szCs w:val="20"/>
              </w:rPr>
              <w:lastRenderedPageBreak/>
              <w:t>HTN</w:t>
            </w: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Yes</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142</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(44.8%)</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150 </w:t>
            </w:r>
            <w:r w:rsidRPr="00B82D86">
              <w:rPr>
                <w:rFonts w:asciiTheme="majorBidi" w:hAnsiTheme="majorBidi" w:cstheme="majorBidi"/>
                <w:spacing w:val="-2"/>
                <w:sz w:val="20"/>
                <w:szCs w:val="20"/>
              </w:rPr>
              <w:t>(49.8%)</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169</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(44.2%)</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χ²:2.438,</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p=0.296</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175</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(55.2%)</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151 </w:t>
            </w:r>
            <w:r w:rsidRPr="00B82D86">
              <w:rPr>
                <w:rFonts w:asciiTheme="majorBidi" w:hAnsiTheme="majorBidi" w:cstheme="majorBidi"/>
                <w:spacing w:val="-2"/>
                <w:sz w:val="20"/>
                <w:szCs w:val="20"/>
              </w:rPr>
              <w:t>(50.2%)</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213</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(55.8%)</w:t>
            </w:r>
          </w:p>
        </w:tc>
        <w:tc>
          <w:tcPr>
            <w:tcW w:w="693"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z w:val="20"/>
                <w:szCs w:val="20"/>
              </w:rPr>
              <w:t>SBP</w:t>
            </w:r>
            <w:r w:rsidRPr="00B82D86">
              <w:rPr>
                <w:rFonts w:asciiTheme="majorBidi" w:hAnsiTheme="majorBidi" w:cstheme="majorBidi"/>
                <w:spacing w:val="-3"/>
                <w:sz w:val="20"/>
                <w:szCs w:val="20"/>
              </w:rPr>
              <w:t xml:space="preserve"> </w:t>
            </w:r>
            <w:r w:rsidRPr="00B82D86">
              <w:rPr>
                <w:rFonts w:asciiTheme="majorBidi" w:hAnsiTheme="majorBidi" w:cstheme="majorBidi"/>
                <w:spacing w:val="-2"/>
                <w:sz w:val="20"/>
                <w:szCs w:val="20"/>
              </w:rPr>
              <w:t>(mmHg)</w:t>
            </w: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right="-24"/>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3"/>
                <w:sz w:val="20"/>
                <w:szCs w:val="20"/>
              </w:rPr>
              <w:t xml:space="preserve"> </w:t>
            </w:r>
            <w:r w:rsidRPr="00B82D86">
              <w:rPr>
                <w:rFonts w:asciiTheme="majorBidi" w:hAnsiTheme="majorBidi" w:cstheme="majorBidi"/>
                <w:sz w:val="20"/>
                <w:szCs w:val="20"/>
              </w:rPr>
              <w:t xml:space="preserve">± </w:t>
            </w:r>
            <w:r w:rsidRPr="00B82D86">
              <w:rPr>
                <w:rFonts w:asciiTheme="majorBidi" w:hAnsiTheme="majorBidi" w:cstheme="majorBidi"/>
                <w:spacing w:val="-6"/>
                <w:sz w:val="20"/>
                <w:szCs w:val="20"/>
              </w:rPr>
              <w:t>SD</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127.54 </w:t>
            </w:r>
            <w:r w:rsidRPr="00B82D86">
              <w:rPr>
                <w:rFonts w:asciiTheme="majorBidi" w:hAnsiTheme="majorBidi" w:cstheme="majorBidi"/>
                <w:spacing w:val="-10"/>
                <w:sz w:val="20"/>
                <w:szCs w:val="20"/>
              </w:rPr>
              <w:t>±</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11.62</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127.77 ± </w:t>
            </w:r>
            <w:r w:rsidRPr="00B82D86">
              <w:rPr>
                <w:rFonts w:asciiTheme="majorBidi" w:hAnsiTheme="majorBidi" w:cstheme="majorBidi"/>
                <w:spacing w:val="-2"/>
                <w:sz w:val="20"/>
                <w:szCs w:val="20"/>
              </w:rPr>
              <w:t>11.75</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127.04 </w:t>
            </w:r>
            <w:r w:rsidRPr="00B82D86">
              <w:rPr>
                <w:rFonts w:asciiTheme="majorBidi" w:hAnsiTheme="majorBidi" w:cstheme="majorBidi"/>
                <w:spacing w:val="-10"/>
                <w:sz w:val="20"/>
                <w:szCs w:val="20"/>
              </w:rPr>
              <w:t>±</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11.22</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right="318"/>
              <w:jc w:val="lowKashida"/>
              <w:rPr>
                <w:rFonts w:asciiTheme="majorBidi" w:hAnsiTheme="majorBidi" w:cstheme="majorBidi"/>
                <w:sz w:val="20"/>
                <w:szCs w:val="20"/>
              </w:rPr>
            </w:pPr>
            <w:r w:rsidRPr="00B82D86">
              <w:rPr>
                <w:rFonts w:asciiTheme="majorBidi" w:hAnsiTheme="majorBidi" w:cstheme="majorBidi"/>
                <w:spacing w:val="-2"/>
                <w:sz w:val="20"/>
                <w:szCs w:val="20"/>
              </w:rPr>
              <w:t>F:0.366, p=0.694</w:t>
            </w: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z w:val="20"/>
                <w:szCs w:val="20"/>
              </w:rPr>
              <w:t>DBP</w:t>
            </w:r>
            <w:r w:rsidRPr="00B82D86">
              <w:rPr>
                <w:rFonts w:asciiTheme="majorBidi" w:hAnsiTheme="majorBidi" w:cstheme="majorBidi"/>
                <w:spacing w:val="-1"/>
                <w:sz w:val="20"/>
                <w:szCs w:val="20"/>
              </w:rPr>
              <w:t xml:space="preserve"> </w:t>
            </w:r>
            <w:r w:rsidRPr="00B82D86">
              <w:rPr>
                <w:rFonts w:asciiTheme="majorBidi" w:hAnsiTheme="majorBidi" w:cstheme="majorBidi"/>
                <w:spacing w:val="-2"/>
                <w:sz w:val="20"/>
                <w:szCs w:val="20"/>
              </w:rPr>
              <w:t>(mmHg)</w:t>
            </w: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3"/>
                <w:sz w:val="20"/>
                <w:szCs w:val="20"/>
              </w:rPr>
              <w:t xml:space="preserve"> </w:t>
            </w:r>
            <w:r w:rsidRPr="00B82D86">
              <w:rPr>
                <w:rFonts w:asciiTheme="majorBidi" w:hAnsiTheme="majorBidi" w:cstheme="majorBidi"/>
                <w:sz w:val="20"/>
                <w:szCs w:val="20"/>
              </w:rPr>
              <w:t xml:space="preserve">± </w:t>
            </w:r>
            <w:r w:rsidRPr="00B82D86">
              <w:rPr>
                <w:rFonts w:asciiTheme="majorBidi" w:hAnsiTheme="majorBidi" w:cstheme="majorBidi"/>
                <w:spacing w:val="-6"/>
                <w:sz w:val="20"/>
                <w:szCs w:val="20"/>
              </w:rPr>
              <w:t>SD</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74.98 </w:t>
            </w:r>
            <w:r w:rsidRPr="00B82D86">
              <w:rPr>
                <w:rFonts w:asciiTheme="majorBidi" w:hAnsiTheme="majorBidi" w:cstheme="majorBidi"/>
                <w:spacing w:val="-10"/>
                <w:sz w:val="20"/>
                <w:szCs w:val="20"/>
              </w:rPr>
              <w:t>±</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4"/>
                <w:sz w:val="20"/>
                <w:szCs w:val="20"/>
              </w:rPr>
              <w:t>8.85</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76.01 ± </w:t>
            </w:r>
            <w:r w:rsidRPr="00B82D86">
              <w:rPr>
                <w:rFonts w:asciiTheme="majorBidi" w:hAnsiTheme="majorBidi" w:cstheme="majorBidi"/>
                <w:spacing w:val="-4"/>
                <w:sz w:val="20"/>
                <w:szCs w:val="20"/>
              </w:rPr>
              <w:t>8.61</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74.50 </w:t>
            </w:r>
            <w:r w:rsidRPr="00B82D86">
              <w:rPr>
                <w:rFonts w:asciiTheme="majorBidi" w:hAnsiTheme="majorBidi" w:cstheme="majorBidi"/>
                <w:spacing w:val="-10"/>
                <w:sz w:val="20"/>
                <w:szCs w:val="20"/>
              </w:rPr>
              <w:t>±</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4"/>
                <w:sz w:val="20"/>
                <w:szCs w:val="20"/>
              </w:rPr>
              <w:t>8.67</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right="318"/>
              <w:jc w:val="lowKashida"/>
              <w:rPr>
                <w:rFonts w:asciiTheme="majorBidi" w:hAnsiTheme="majorBidi" w:cstheme="majorBidi"/>
                <w:sz w:val="20"/>
                <w:szCs w:val="20"/>
              </w:rPr>
            </w:pPr>
            <w:r w:rsidRPr="00B82D86">
              <w:rPr>
                <w:rFonts w:asciiTheme="majorBidi" w:hAnsiTheme="majorBidi" w:cstheme="majorBidi"/>
                <w:spacing w:val="-2"/>
                <w:sz w:val="20"/>
                <w:szCs w:val="20"/>
              </w:rPr>
              <w:t>F:2.582, p=0.076</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Dyslipidemia</w:t>
            </w: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Yes</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143</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(45.1%)</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136 </w:t>
            </w:r>
            <w:r w:rsidRPr="00B82D86">
              <w:rPr>
                <w:rFonts w:asciiTheme="majorBidi" w:hAnsiTheme="majorBidi" w:cstheme="majorBidi"/>
                <w:spacing w:val="-2"/>
                <w:sz w:val="20"/>
                <w:szCs w:val="20"/>
              </w:rPr>
              <w:t>(45.2%)</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181</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(47.4%)</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χ²:0.476,</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p=0.788</w:t>
            </w: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174</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(54.9%)</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165 </w:t>
            </w:r>
            <w:r w:rsidRPr="00B82D86">
              <w:rPr>
                <w:rFonts w:asciiTheme="majorBidi" w:hAnsiTheme="majorBidi" w:cstheme="majorBidi"/>
                <w:spacing w:val="-2"/>
                <w:sz w:val="20"/>
                <w:szCs w:val="20"/>
              </w:rPr>
              <w:t>(54.8%)</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201</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(52.6%)</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z w:val="20"/>
                <w:szCs w:val="20"/>
              </w:rPr>
              <w:t>Family</w:t>
            </w:r>
            <w:r w:rsidRPr="00B82D86">
              <w:rPr>
                <w:rFonts w:asciiTheme="majorBidi" w:hAnsiTheme="majorBidi" w:cstheme="majorBidi"/>
                <w:spacing w:val="-13"/>
                <w:sz w:val="20"/>
                <w:szCs w:val="20"/>
              </w:rPr>
              <w:t xml:space="preserve"> </w:t>
            </w:r>
            <w:r w:rsidRPr="00B82D86">
              <w:rPr>
                <w:rFonts w:asciiTheme="majorBidi" w:hAnsiTheme="majorBidi" w:cstheme="majorBidi"/>
                <w:sz w:val="20"/>
                <w:szCs w:val="20"/>
              </w:rPr>
              <w:t xml:space="preserve">history </w:t>
            </w:r>
            <w:r w:rsidRPr="00B82D86">
              <w:rPr>
                <w:rFonts w:asciiTheme="majorBidi" w:hAnsiTheme="majorBidi" w:cstheme="majorBidi"/>
                <w:spacing w:val="-6"/>
                <w:sz w:val="20"/>
                <w:szCs w:val="20"/>
              </w:rPr>
              <w:t xml:space="preserve">of </w:t>
            </w:r>
            <w:r w:rsidRPr="00B82D86">
              <w:rPr>
                <w:rFonts w:asciiTheme="majorBidi" w:hAnsiTheme="majorBidi" w:cstheme="majorBidi"/>
                <w:spacing w:val="-2"/>
                <w:sz w:val="20"/>
                <w:szCs w:val="20"/>
              </w:rPr>
              <w:t xml:space="preserve">atherosclerotic </w:t>
            </w:r>
            <w:r w:rsidRPr="00B82D86">
              <w:rPr>
                <w:rFonts w:asciiTheme="majorBidi" w:hAnsiTheme="majorBidi" w:cstheme="majorBidi"/>
                <w:spacing w:val="-4"/>
                <w:sz w:val="20"/>
                <w:szCs w:val="20"/>
              </w:rPr>
              <w:t>CAD</w:t>
            </w: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255</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(80.4%)</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248 </w:t>
            </w:r>
            <w:r w:rsidRPr="00B82D86">
              <w:rPr>
                <w:rFonts w:asciiTheme="majorBidi" w:hAnsiTheme="majorBidi" w:cstheme="majorBidi"/>
                <w:spacing w:val="-2"/>
                <w:sz w:val="20"/>
                <w:szCs w:val="20"/>
              </w:rPr>
              <w:t>(82.4%)</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313</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(81.9%)</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χ²:0.438,</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p=0.803</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Yes</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62 </w:t>
            </w:r>
            <w:r w:rsidRPr="00B82D86">
              <w:rPr>
                <w:rFonts w:asciiTheme="majorBidi" w:hAnsiTheme="majorBidi" w:cstheme="majorBidi"/>
                <w:spacing w:val="-2"/>
                <w:sz w:val="20"/>
                <w:szCs w:val="20"/>
              </w:rPr>
              <w:t>(19.6%)</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53 </w:t>
            </w:r>
            <w:r w:rsidRPr="00B82D86">
              <w:rPr>
                <w:rFonts w:asciiTheme="majorBidi" w:hAnsiTheme="majorBidi" w:cstheme="majorBidi"/>
                <w:spacing w:val="-2"/>
                <w:sz w:val="20"/>
                <w:szCs w:val="20"/>
              </w:rPr>
              <w:t>(17.6%)</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69 </w:t>
            </w:r>
            <w:r w:rsidRPr="00B82D86">
              <w:rPr>
                <w:rFonts w:asciiTheme="majorBidi" w:hAnsiTheme="majorBidi" w:cstheme="majorBidi"/>
                <w:spacing w:val="-2"/>
                <w:sz w:val="20"/>
                <w:szCs w:val="20"/>
              </w:rPr>
              <w:t>(18.1%)</w:t>
            </w:r>
          </w:p>
        </w:tc>
        <w:tc>
          <w:tcPr>
            <w:tcW w:w="693"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5"/>
                <w:sz w:val="20"/>
                <w:szCs w:val="20"/>
              </w:rPr>
              <w:t>DM</w:t>
            </w: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Yes</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149</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(47.0%)</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149 </w:t>
            </w:r>
            <w:r w:rsidRPr="00B82D86">
              <w:rPr>
                <w:rFonts w:asciiTheme="majorBidi" w:hAnsiTheme="majorBidi" w:cstheme="majorBidi"/>
                <w:spacing w:val="-2"/>
                <w:sz w:val="20"/>
                <w:szCs w:val="20"/>
              </w:rPr>
              <w:t>(49.5%)</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176</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(46.1%)</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χ²:0.823,</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p=0.663</w:t>
            </w: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168</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(53.0%)</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152 </w:t>
            </w:r>
            <w:r w:rsidRPr="00B82D86">
              <w:rPr>
                <w:rFonts w:asciiTheme="majorBidi" w:hAnsiTheme="majorBidi" w:cstheme="majorBidi"/>
                <w:spacing w:val="-2"/>
                <w:sz w:val="20"/>
                <w:szCs w:val="20"/>
              </w:rPr>
              <w:t>(50.5%)</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206</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(53.9%)</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z w:val="20"/>
                <w:szCs w:val="20"/>
              </w:rPr>
              <w:t>Type</w:t>
            </w:r>
            <w:r w:rsidRPr="00B82D86">
              <w:rPr>
                <w:rFonts w:asciiTheme="majorBidi" w:hAnsiTheme="majorBidi" w:cstheme="majorBidi"/>
                <w:spacing w:val="2"/>
                <w:sz w:val="20"/>
                <w:szCs w:val="20"/>
              </w:rPr>
              <w:t xml:space="preserve"> </w:t>
            </w:r>
            <w:r w:rsidRPr="00B82D86">
              <w:rPr>
                <w:rFonts w:asciiTheme="majorBidi" w:hAnsiTheme="majorBidi" w:cstheme="majorBidi"/>
                <w:sz w:val="20"/>
                <w:szCs w:val="20"/>
              </w:rPr>
              <w:t>of</w:t>
            </w:r>
            <w:r w:rsidRPr="00B82D86">
              <w:rPr>
                <w:rFonts w:asciiTheme="majorBidi" w:hAnsiTheme="majorBidi" w:cstheme="majorBidi"/>
                <w:spacing w:val="-1"/>
                <w:sz w:val="20"/>
                <w:szCs w:val="20"/>
              </w:rPr>
              <w:t xml:space="preserve"> </w:t>
            </w:r>
            <w:r w:rsidRPr="00B82D86">
              <w:rPr>
                <w:rFonts w:asciiTheme="majorBidi" w:hAnsiTheme="majorBidi" w:cstheme="majorBidi"/>
                <w:spacing w:val="-5"/>
                <w:sz w:val="20"/>
                <w:szCs w:val="20"/>
              </w:rPr>
              <w:t>DM</w:t>
            </w: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T2DM</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79 </w:t>
            </w:r>
            <w:r w:rsidRPr="00B82D86">
              <w:rPr>
                <w:rFonts w:asciiTheme="majorBidi" w:hAnsiTheme="majorBidi" w:cstheme="majorBidi"/>
                <w:spacing w:val="-2"/>
                <w:sz w:val="20"/>
                <w:szCs w:val="20"/>
              </w:rPr>
              <w:t>(24.9%)</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82 </w:t>
            </w:r>
            <w:r w:rsidRPr="00B82D86">
              <w:rPr>
                <w:rFonts w:asciiTheme="majorBidi" w:hAnsiTheme="majorBidi" w:cstheme="majorBidi"/>
                <w:spacing w:val="-2"/>
                <w:sz w:val="20"/>
                <w:szCs w:val="20"/>
              </w:rPr>
              <w:t>(27.2%)</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94 </w:t>
            </w:r>
            <w:r w:rsidRPr="00B82D86">
              <w:rPr>
                <w:rFonts w:asciiTheme="majorBidi" w:hAnsiTheme="majorBidi" w:cstheme="majorBidi"/>
                <w:spacing w:val="-2"/>
                <w:sz w:val="20"/>
                <w:szCs w:val="20"/>
              </w:rPr>
              <w:t>(24.6%)</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χ²:1.093,</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p=0.895</w:t>
            </w:r>
          </w:p>
        </w:tc>
        <w:tc>
          <w:tcPr>
            <w:tcW w:w="740"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168</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(53.0%)</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151 </w:t>
            </w:r>
            <w:r w:rsidRPr="00B82D86">
              <w:rPr>
                <w:rFonts w:asciiTheme="majorBidi" w:hAnsiTheme="majorBidi" w:cstheme="majorBidi"/>
                <w:spacing w:val="-2"/>
                <w:sz w:val="20"/>
                <w:szCs w:val="20"/>
              </w:rPr>
              <w:t>(50.2%)</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206</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(53.9%)</w:t>
            </w:r>
          </w:p>
        </w:tc>
        <w:tc>
          <w:tcPr>
            <w:tcW w:w="693"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T1DM</w:t>
            </w:r>
          </w:p>
        </w:tc>
        <w:tc>
          <w:tcPr>
            <w:tcW w:w="706"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70 </w:t>
            </w:r>
            <w:r w:rsidRPr="00B82D86">
              <w:rPr>
                <w:rFonts w:asciiTheme="majorBidi" w:hAnsiTheme="majorBidi" w:cstheme="majorBidi"/>
                <w:spacing w:val="-2"/>
                <w:sz w:val="20"/>
                <w:szCs w:val="20"/>
              </w:rPr>
              <w:t>(22.1%)</w:t>
            </w:r>
          </w:p>
        </w:tc>
        <w:tc>
          <w:tcPr>
            <w:tcW w:w="897"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68 </w:t>
            </w:r>
            <w:r w:rsidRPr="00B82D86">
              <w:rPr>
                <w:rFonts w:asciiTheme="majorBidi" w:hAnsiTheme="majorBidi" w:cstheme="majorBidi"/>
                <w:spacing w:val="-2"/>
                <w:sz w:val="20"/>
                <w:szCs w:val="20"/>
              </w:rPr>
              <w:t>(22.6%)</w:t>
            </w:r>
          </w:p>
        </w:tc>
        <w:tc>
          <w:tcPr>
            <w:tcW w:w="612" w:type="pc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82 </w:t>
            </w:r>
            <w:r w:rsidRPr="00B82D86">
              <w:rPr>
                <w:rFonts w:asciiTheme="majorBidi" w:hAnsiTheme="majorBidi" w:cstheme="majorBidi"/>
                <w:spacing w:val="-2"/>
                <w:sz w:val="20"/>
                <w:szCs w:val="20"/>
              </w:rPr>
              <w:t>(21.5%)</w:t>
            </w:r>
          </w:p>
        </w:tc>
        <w:tc>
          <w:tcPr>
            <w:tcW w:w="693"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right="33"/>
              <w:jc w:val="lowKashida"/>
              <w:rPr>
                <w:rFonts w:asciiTheme="majorBidi" w:hAnsiTheme="majorBidi" w:cstheme="majorBidi"/>
                <w:sz w:val="20"/>
                <w:szCs w:val="20"/>
              </w:rPr>
            </w:pPr>
            <w:r w:rsidRPr="00B82D86">
              <w:rPr>
                <w:rFonts w:asciiTheme="majorBidi" w:hAnsiTheme="majorBidi" w:cstheme="majorBidi"/>
                <w:spacing w:val="-2"/>
                <w:sz w:val="20"/>
                <w:szCs w:val="20"/>
              </w:rPr>
              <w:t xml:space="preserve">Other complications </w:t>
            </w:r>
            <w:r w:rsidRPr="00B82D86">
              <w:rPr>
                <w:rFonts w:asciiTheme="majorBidi" w:hAnsiTheme="majorBidi" w:cstheme="majorBidi"/>
                <w:sz w:val="20"/>
                <w:szCs w:val="20"/>
              </w:rPr>
              <w:t>of DM</w:t>
            </w: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No</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5"/>
                <w:sz w:val="20"/>
                <w:szCs w:val="20"/>
              </w:rPr>
              <w:t>261</w:t>
            </w:r>
          </w:p>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pacing w:val="-2"/>
                <w:sz w:val="20"/>
                <w:szCs w:val="20"/>
              </w:rPr>
              <w:t>(82.3%)</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236 </w:t>
            </w:r>
            <w:r w:rsidRPr="00B82D86">
              <w:rPr>
                <w:rFonts w:asciiTheme="majorBidi" w:hAnsiTheme="majorBidi" w:cstheme="majorBidi"/>
                <w:spacing w:val="-2"/>
                <w:sz w:val="20"/>
                <w:szCs w:val="20"/>
              </w:rPr>
              <w:t>(78.4%)</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5"/>
                <w:sz w:val="20"/>
                <w:szCs w:val="20"/>
              </w:rPr>
              <w:t>317</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(83.0%)</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χ²:2.300,</w:t>
            </w:r>
          </w:p>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p=0.317</w:t>
            </w: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1"/>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Yes</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56 </w:t>
            </w:r>
            <w:r w:rsidRPr="00B82D86">
              <w:rPr>
                <w:rFonts w:asciiTheme="majorBidi" w:hAnsiTheme="majorBidi" w:cstheme="majorBidi"/>
                <w:spacing w:val="-2"/>
                <w:sz w:val="20"/>
                <w:szCs w:val="20"/>
              </w:rPr>
              <w:t>(17.7%)</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64 </w:t>
            </w:r>
            <w:r w:rsidRPr="00B82D86">
              <w:rPr>
                <w:rFonts w:asciiTheme="majorBidi" w:hAnsiTheme="majorBidi" w:cstheme="majorBidi"/>
                <w:spacing w:val="-2"/>
                <w:sz w:val="20"/>
                <w:szCs w:val="20"/>
              </w:rPr>
              <w:t>(21.3%)</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65 </w:t>
            </w:r>
            <w:r w:rsidRPr="00B82D86">
              <w:rPr>
                <w:rFonts w:asciiTheme="majorBidi" w:hAnsiTheme="majorBidi" w:cstheme="majorBidi"/>
                <w:spacing w:val="-2"/>
                <w:sz w:val="20"/>
                <w:szCs w:val="20"/>
              </w:rPr>
              <w:t>(17.0%)</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C769E1">
        <w:trPr>
          <w:trHeight w:val="19"/>
        </w:trPr>
        <w:tc>
          <w:tcPr>
            <w:tcW w:w="814"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38"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5"/>
                <w:sz w:val="20"/>
                <w:szCs w:val="20"/>
              </w:rPr>
              <w:t>nan</w:t>
            </w:r>
          </w:p>
        </w:tc>
        <w:tc>
          <w:tcPr>
            <w:tcW w:w="70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9"/>
              <w:jc w:val="lowKashida"/>
              <w:rPr>
                <w:rFonts w:asciiTheme="majorBidi" w:hAnsiTheme="majorBidi" w:cstheme="majorBidi"/>
                <w:sz w:val="20"/>
                <w:szCs w:val="20"/>
              </w:rPr>
            </w:pPr>
            <w:r w:rsidRPr="00B82D86">
              <w:rPr>
                <w:rFonts w:asciiTheme="majorBidi" w:hAnsiTheme="majorBidi" w:cstheme="majorBidi"/>
                <w:sz w:val="20"/>
                <w:szCs w:val="20"/>
              </w:rPr>
              <w:t xml:space="preserve">0 </w:t>
            </w:r>
            <w:r w:rsidRPr="00B82D86">
              <w:rPr>
                <w:rFonts w:asciiTheme="majorBidi" w:hAnsiTheme="majorBidi" w:cstheme="majorBidi"/>
                <w:spacing w:val="-2"/>
                <w:sz w:val="20"/>
                <w:szCs w:val="20"/>
              </w:rPr>
              <w:t>(0.0%)</w:t>
            </w:r>
          </w:p>
        </w:tc>
        <w:tc>
          <w:tcPr>
            <w:tcW w:w="897"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0 </w:t>
            </w:r>
            <w:r w:rsidRPr="00B82D86">
              <w:rPr>
                <w:rFonts w:asciiTheme="majorBidi" w:hAnsiTheme="majorBidi" w:cstheme="majorBidi"/>
                <w:spacing w:val="-2"/>
                <w:sz w:val="20"/>
                <w:szCs w:val="20"/>
              </w:rPr>
              <w:t>(0.0%)</w:t>
            </w:r>
          </w:p>
        </w:tc>
        <w:tc>
          <w:tcPr>
            <w:tcW w:w="612"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z w:val="20"/>
                <w:szCs w:val="20"/>
              </w:rPr>
              <w:t xml:space="preserve">0 </w:t>
            </w:r>
            <w:r w:rsidRPr="00B82D86">
              <w:rPr>
                <w:rFonts w:asciiTheme="majorBidi" w:hAnsiTheme="majorBidi" w:cstheme="majorBidi"/>
                <w:spacing w:val="-2"/>
                <w:sz w:val="20"/>
                <w:szCs w:val="20"/>
              </w:rPr>
              <w:t>(0.0%)</w:t>
            </w:r>
          </w:p>
        </w:tc>
        <w:tc>
          <w:tcPr>
            <w:tcW w:w="693"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40" w:type="pct"/>
            <w:tcBorders>
              <w:top w:val="single" w:sz="4" w:space="0" w:color="000000"/>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bl>
    <w:p w:rsidR="00C769E1" w:rsidRPr="00C769E1" w:rsidRDefault="00C769E1" w:rsidP="00C769E1">
      <w:pPr>
        <w:pStyle w:val="BodyText"/>
        <w:spacing w:before="240" w:after="240"/>
        <w:jc w:val="lowKashida"/>
        <w:rPr>
          <w:rFonts w:asciiTheme="majorBidi" w:hAnsiTheme="majorBidi" w:cstheme="majorBidi"/>
          <w:sz w:val="24"/>
          <w:szCs w:val="24"/>
        </w:rPr>
      </w:pPr>
      <w:r>
        <w:rPr>
          <w:rFonts w:asciiTheme="majorBidi" w:hAnsiTheme="majorBidi" w:cstheme="majorBidi"/>
          <w:sz w:val="24"/>
          <w:szCs w:val="24"/>
        </w:rPr>
        <w:t xml:space="preserve">In table 3, </w:t>
      </w:r>
      <w:r w:rsidRPr="00C769E1">
        <w:rPr>
          <w:rFonts w:asciiTheme="majorBidi" w:hAnsiTheme="majorBidi" w:cstheme="majorBidi"/>
          <w:sz w:val="24"/>
          <w:szCs w:val="24"/>
        </w:rPr>
        <w:t>The fasting blood sugar (FBS) means among the three groups were comparable: 120.89 ± 17.05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CAD patients, 120.43 ± 17.67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CVD patients, and 120.09 ± 17.37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PAD patients.  The absence of a substantial difference between the values in the two groups (F = 0.186, p = 0.830) indicates that the </w:t>
      </w:r>
      <w:proofErr w:type="spellStart"/>
      <w:r w:rsidRPr="00C769E1">
        <w:rPr>
          <w:rFonts w:asciiTheme="majorBidi" w:hAnsiTheme="majorBidi" w:cstheme="majorBidi"/>
          <w:sz w:val="24"/>
          <w:szCs w:val="24"/>
        </w:rPr>
        <w:t>glycaemic</w:t>
      </w:r>
      <w:proofErr w:type="spellEnd"/>
      <w:r w:rsidRPr="00C769E1">
        <w:rPr>
          <w:rFonts w:asciiTheme="majorBidi" w:hAnsiTheme="majorBidi" w:cstheme="majorBidi"/>
          <w:sz w:val="24"/>
          <w:szCs w:val="24"/>
        </w:rPr>
        <w:t xml:space="preserve"> profile, as evaluated by FBS, was comparable across the illness types.</w:t>
      </w:r>
    </w:p>
    <w:p w:rsidR="00C769E1" w:rsidRPr="00C769E1" w:rsidRDefault="00C769E1" w:rsidP="00C769E1">
      <w:pPr>
        <w:pStyle w:val="BodyText"/>
        <w:spacing w:before="240" w:after="240"/>
        <w:jc w:val="lowKashida"/>
        <w:rPr>
          <w:rFonts w:asciiTheme="majorBidi" w:hAnsiTheme="majorBidi" w:cstheme="majorBidi"/>
          <w:sz w:val="24"/>
          <w:szCs w:val="24"/>
        </w:rPr>
      </w:pPr>
      <w:r w:rsidRPr="00C769E1">
        <w:rPr>
          <w:rFonts w:asciiTheme="majorBidi" w:hAnsiTheme="majorBidi" w:cstheme="majorBidi"/>
          <w:sz w:val="24"/>
          <w:szCs w:val="24"/>
        </w:rPr>
        <w:t xml:space="preserve"> No significant difference was seen among the three groups concerning total cholesterol levels (205.88 ± 42.10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vs 208.54 ± 40.37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vs 207.54 ± 42.70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No notable variations were seen in the lipid profiles of TC among the three vascular disorders (F = 0.321, p = 0.726), indicating that the lipid profiles of TC were comparable among the three conditions.</w:t>
      </w:r>
    </w:p>
    <w:p w:rsidR="00C769E1" w:rsidRPr="00C769E1" w:rsidRDefault="00C769E1" w:rsidP="00C769E1">
      <w:pPr>
        <w:pStyle w:val="BodyText"/>
        <w:spacing w:before="240" w:after="240"/>
        <w:jc w:val="lowKashida"/>
        <w:rPr>
          <w:rFonts w:asciiTheme="majorBidi" w:hAnsiTheme="majorBidi" w:cstheme="majorBidi"/>
          <w:sz w:val="24"/>
          <w:szCs w:val="24"/>
        </w:rPr>
      </w:pPr>
      <w:r w:rsidRPr="00C769E1">
        <w:rPr>
          <w:rFonts w:asciiTheme="majorBidi" w:hAnsiTheme="majorBidi" w:cstheme="majorBidi"/>
          <w:sz w:val="24"/>
          <w:szCs w:val="24"/>
        </w:rPr>
        <w:t xml:space="preserve"> Triglyceride levels were comparable among groups (CAD: 223.29 ± 40.02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CVD: 224.04 ± 41.48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and PAD: 225.81 ± 41.14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The difference was non-significant (F = 0.354, p = 0.702), suggesting the uniformity of lipid problems among the disorders.</w:t>
      </w:r>
    </w:p>
    <w:p w:rsidR="00C769E1" w:rsidRPr="00C769E1" w:rsidRDefault="00C769E1" w:rsidP="00C769E1">
      <w:pPr>
        <w:pStyle w:val="BodyText"/>
        <w:spacing w:before="240" w:after="240"/>
        <w:jc w:val="lowKashida"/>
        <w:rPr>
          <w:rFonts w:asciiTheme="majorBidi" w:hAnsiTheme="majorBidi" w:cstheme="majorBidi"/>
          <w:sz w:val="24"/>
          <w:szCs w:val="24"/>
        </w:rPr>
      </w:pPr>
      <w:r w:rsidRPr="00C769E1">
        <w:rPr>
          <w:rFonts w:asciiTheme="majorBidi" w:hAnsiTheme="majorBidi" w:cstheme="majorBidi"/>
          <w:sz w:val="24"/>
          <w:szCs w:val="24"/>
        </w:rPr>
        <w:t xml:space="preserve"> No significant differences in LDL cholesterol were seen among CAD [mean, 125.85 ± 22.89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CVD [125.07 ± 22.93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and PAD [126.88 ± 23.67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(F = 0.524, p = 0.592).  This indicates that LDL cholesterol, a primary </w:t>
      </w:r>
      <w:proofErr w:type="spellStart"/>
      <w:r w:rsidRPr="00C769E1">
        <w:rPr>
          <w:rFonts w:asciiTheme="majorBidi" w:hAnsiTheme="majorBidi" w:cstheme="majorBidi"/>
          <w:sz w:val="24"/>
          <w:szCs w:val="24"/>
        </w:rPr>
        <w:t>atherogenic</w:t>
      </w:r>
      <w:proofErr w:type="spellEnd"/>
      <w:r w:rsidRPr="00C769E1">
        <w:rPr>
          <w:rFonts w:asciiTheme="majorBidi" w:hAnsiTheme="majorBidi" w:cstheme="majorBidi"/>
          <w:sz w:val="24"/>
          <w:szCs w:val="24"/>
        </w:rPr>
        <w:t xml:space="preserve"> factor, is consistently distributed across </w:t>
      </w:r>
      <w:r w:rsidRPr="00C769E1">
        <w:rPr>
          <w:rFonts w:asciiTheme="majorBidi" w:hAnsiTheme="majorBidi" w:cstheme="majorBidi"/>
          <w:sz w:val="24"/>
          <w:szCs w:val="24"/>
        </w:rPr>
        <w:lastRenderedPageBreak/>
        <w:t>all patient categories.</w:t>
      </w:r>
    </w:p>
    <w:p w:rsidR="00C769E1" w:rsidRPr="00C769E1" w:rsidRDefault="00C769E1" w:rsidP="00C769E1">
      <w:pPr>
        <w:pStyle w:val="BodyText"/>
        <w:spacing w:before="240" w:after="240"/>
        <w:jc w:val="lowKashida"/>
        <w:rPr>
          <w:rFonts w:asciiTheme="majorBidi" w:hAnsiTheme="majorBidi" w:cstheme="majorBidi"/>
          <w:sz w:val="24"/>
          <w:szCs w:val="24"/>
        </w:rPr>
      </w:pPr>
      <w:r w:rsidRPr="00C769E1">
        <w:rPr>
          <w:rFonts w:asciiTheme="majorBidi" w:hAnsiTheme="majorBidi" w:cstheme="majorBidi"/>
          <w:sz w:val="24"/>
          <w:szCs w:val="24"/>
        </w:rPr>
        <w:t xml:space="preserve"> High-density lipoprotein cholesterol (HDL-C), typically protective against atherosclerosis, exhibited equivalent means across groups, specifically between coronary artery disease (CAD) and peripheral artery disease (PAD) (both 46.30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and closely approximated the mean value in cardiovascular disease (CVD) (46.34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resulting in a statistically non-significant difference (F = 0.004, p = 0.996).  In a comparison between sexes, female HDL levels were marginally elevated across all groups: 47.77 ± 7.73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CAD, 47.00 ± 7.05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CVD, and 47.16 ± 7.16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PAD, with no statistically significant difference seen (p = 0.686).  In males, HDL levels were comparable, measuring 45.29 ± 6.66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CAD, 45.92 ± 6.81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CVD, and 45.75 mg/</w:t>
      </w:r>
      <w:proofErr w:type="spellStart"/>
      <w:r w:rsidRPr="00C769E1">
        <w:rPr>
          <w:rFonts w:asciiTheme="majorBidi" w:hAnsiTheme="majorBidi" w:cstheme="majorBidi"/>
          <w:sz w:val="24"/>
          <w:szCs w:val="24"/>
        </w:rPr>
        <w:t>dL</w:t>
      </w:r>
      <w:proofErr w:type="spellEnd"/>
      <w:r w:rsidRPr="00C769E1">
        <w:rPr>
          <w:rFonts w:asciiTheme="majorBidi" w:hAnsiTheme="majorBidi" w:cstheme="majorBidi"/>
          <w:sz w:val="24"/>
          <w:szCs w:val="24"/>
        </w:rPr>
        <w:t xml:space="preserve"> in PAD (p = 0.6937).</w:t>
      </w:r>
    </w:p>
    <w:p w:rsidR="00A67477" w:rsidRPr="00A67477" w:rsidRDefault="00A67477" w:rsidP="00C769E1">
      <w:pPr>
        <w:pStyle w:val="BodyText"/>
        <w:spacing w:before="240" w:after="240"/>
        <w:jc w:val="lowKashida"/>
        <w:rPr>
          <w:rFonts w:asciiTheme="majorBidi" w:hAnsiTheme="majorBidi" w:cstheme="majorBidi"/>
          <w:sz w:val="24"/>
          <w:szCs w:val="24"/>
        </w:rPr>
      </w:pPr>
      <w:r w:rsidRPr="00A67477">
        <w:rPr>
          <w:rFonts w:asciiTheme="majorBidi" w:hAnsiTheme="majorBidi" w:cstheme="majorBidi"/>
          <w:b/>
          <w:bCs/>
          <w:sz w:val="24"/>
          <w:szCs w:val="24"/>
        </w:rPr>
        <w:t xml:space="preserve">Tables </w:t>
      </w:r>
      <w:r w:rsidR="00B82D86">
        <w:rPr>
          <w:rFonts w:asciiTheme="majorBidi" w:hAnsiTheme="majorBidi" w:cstheme="majorBidi"/>
          <w:b/>
          <w:bCs/>
          <w:sz w:val="24"/>
          <w:szCs w:val="24"/>
        </w:rPr>
        <w:t>3</w:t>
      </w:r>
      <w:r w:rsidRPr="00A67477">
        <w:rPr>
          <w:rFonts w:asciiTheme="majorBidi" w:hAnsiTheme="majorBidi" w:cstheme="majorBidi"/>
          <w:b/>
          <w:sz w:val="24"/>
          <w:szCs w:val="24"/>
        </w:rPr>
        <w:t xml:space="preserve">: </w:t>
      </w:r>
      <w:r w:rsidRPr="00A67477">
        <w:rPr>
          <w:rFonts w:asciiTheme="majorBidi" w:hAnsiTheme="majorBidi" w:cstheme="majorBidi"/>
          <w:sz w:val="24"/>
          <w:szCs w:val="24"/>
        </w:rPr>
        <w:t>Laboratory</w:t>
      </w:r>
      <w:r w:rsidRPr="00A67477">
        <w:rPr>
          <w:rFonts w:asciiTheme="majorBidi" w:hAnsiTheme="majorBidi" w:cstheme="majorBidi"/>
          <w:spacing w:val="-3"/>
          <w:sz w:val="24"/>
          <w:szCs w:val="24"/>
        </w:rPr>
        <w:t xml:space="preserve"> </w:t>
      </w:r>
      <w:r w:rsidRPr="00A67477">
        <w:rPr>
          <w:rFonts w:asciiTheme="majorBidi" w:hAnsiTheme="majorBidi" w:cstheme="majorBidi"/>
          <w:sz w:val="24"/>
          <w:szCs w:val="24"/>
        </w:rPr>
        <w:t>Parameters</w:t>
      </w:r>
      <w:r w:rsidRPr="00A67477">
        <w:rPr>
          <w:rFonts w:asciiTheme="majorBidi" w:hAnsiTheme="majorBidi" w:cstheme="majorBidi"/>
          <w:spacing w:val="2"/>
          <w:sz w:val="24"/>
          <w:szCs w:val="24"/>
        </w:rPr>
        <w:t xml:space="preserve"> </w:t>
      </w:r>
      <w:r w:rsidRPr="00A67477">
        <w:rPr>
          <w:rFonts w:asciiTheme="majorBidi" w:hAnsiTheme="majorBidi" w:cstheme="majorBidi"/>
          <w:sz w:val="24"/>
          <w:szCs w:val="24"/>
        </w:rPr>
        <w:t>in</w:t>
      </w:r>
      <w:r w:rsidRPr="00A67477">
        <w:rPr>
          <w:rFonts w:asciiTheme="majorBidi" w:hAnsiTheme="majorBidi" w:cstheme="majorBidi"/>
          <w:spacing w:val="-3"/>
          <w:sz w:val="24"/>
          <w:szCs w:val="24"/>
        </w:rPr>
        <w:t xml:space="preserve"> </w:t>
      </w:r>
      <w:r w:rsidRPr="00A67477">
        <w:rPr>
          <w:rFonts w:asciiTheme="majorBidi" w:hAnsiTheme="majorBidi" w:cstheme="majorBidi"/>
          <w:sz w:val="24"/>
          <w:szCs w:val="24"/>
        </w:rPr>
        <w:t>studied</w:t>
      </w:r>
      <w:r w:rsidRPr="00A67477">
        <w:rPr>
          <w:rFonts w:asciiTheme="majorBidi" w:hAnsiTheme="majorBidi" w:cstheme="majorBidi"/>
          <w:spacing w:val="-2"/>
          <w:sz w:val="24"/>
          <w:szCs w:val="24"/>
        </w:rPr>
        <w:t xml:space="preserve"> </w:t>
      </w:r>
      <w:r w:rsidRPr="00A67477">
        <w:rPr>
          <w:rFonts w:asciiTheme="majorBidi" w:hAnsiTheme="majorBidi" w:cstheme="majorBidi"/>
          <w:sz w:val="24"/>
          <w:szCs w:val="24"/>
        </w:rPr>
        <w:t>groups according</w:t>
      </w:r>
      <w:r w:rsidRPr="00A67477">
        <w:rPr>
          <w:rFonts w:asciiTheme="majorBidi" w:hAnsiTheme="majorBidi" w:cstheme="majorBidi"/>
          <w:spacing w:val="-2"/>
          <w:sz w:val="24"/>
          <w:szCs w:val="24"/>
        </w:rPr>
        <w:t xml:space="preserve"> </w:t>
      </w:r>
      <w:r w:rsidRPr="00A67477">
        <w:rPr>
          <w:rFonts w:asciiTheme="majorBidi" w:hAnsiTheme="majorBidi" w:cstheme="majorBidi"/>
          <w:sz w:val="24"/>
          <w:szCs w:val="24"/>
        </w:rPr>
        <w:t>to</w:t>
      </w:r>
      <w:r w:rsidRPr="00A67477">
        <w:rPr>
          <w:rFonts w:asciiTheme="majorBidi" w:hAnsiTheme="majorBidi" w:cstheme="majorBidi"/>
          <w:spacing w:val="-2"/>
          <w:sz w:val="24"/>
          <w:szCs w:val="24"/>
        </w:rPr>
        <w:t xml:space="preserve"> </w:t>
      </w:r>
      <w:r w:rsidRPr="00A67477">
        <w:rPr>
          <w:rFonts w:asciiTheme="majorBidi" w:hAnsiTheme="majorBidi" w:cstheme="majorBidi"/>
          <w:sz w:val="24"/>
          <w:szCs w:val="24"/>
        </w:rPr>
        <w:t>disease</w:t>
      </w:r>
      <w:r w:rsidRPr="00A67477">
        <w:rPr>
          <w:rFonts w:asciiTheme="majorBidi" w:hAnsiTheme="majorBidi" w:cstheme="majorBidi"/>
          <w:spacing w:val="-1"/>
          <w:sz w:val="24"/>
          <w:szCs w:val="24"/>
        </w:rPr>
        <w:t xml:space="preserve"> </w:t>
      </w:r>
      <w:r w:rsidRPr="00A67477">
        <w:rPr>
          <w:rFonts w:asciiTheme="majorBidi" w:hAnsiTheme="majorBidi" w:cstheme="majorBidi"/>
          <w:spacing w:val="-4"/>
          <w:sz w:val="24"/>
          <w:szCs w:val="24"/>
        </w:rPr>
        <w:t>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0"/>
        <w:gridCol w:w="1048"/>
        <w:gridCol w:w="1281"/>
        <w:gridCol w:w="1745"/>
        <w:gridCol w:w="1442"/>
        <w:gridCol w:w="1021"/>
        <w:gridCol w:w="1363"/>
      </w:tblGrid>
      <w:tr w:rsidR="00A67477" w:rsidRPr="00B82D86" w:rsidTr="00A67477">
        <w:trPr>
          <w:trHeight w:val="20"/>
        </w:trPr>
        <w:tc>
          <w:tcPr>
            <w:tcW w:w="775"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Parameter</w:t>
            </w:r>
          </w:p>
        </w:tc>
        <w:tc>
          <w:tcPr>
            <w:tcW w:w="560"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Category</w:t>
            </w:r>
          </w:p>
        </w:tc>
        <w:tc>
          <w:tcPr>
            <w:tcW w:w="685"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right="277"/>
              <w:jc w:val="lowKashida"/>
              <w:rPr>
                <w:rFonts w:asciiTheme="majorBidi" w:hAnsiTheme="majorBidi" w:cstheme="majorBidi"/>
                <w:sz w:val="20"/>
                <w:szCs w:val="20"/>
              </w:rPr>
            </w:pPr>
            <w:r w:rsidRPr="00B82D86">
              <w:rPr>
                <w:rFonts w:asciiTheme="majorBidi" w:hAnsiTheme="majorBidi" w:cstheme="majorBidi"/>
                <w:spacing w:val="-2"/>
                <w:sz w:val="20"/>
                <w:szCs w:val="20"/>
              </w:rPr>
              <w:t>Coronary artery</w:t>
            </w:r>
          </w:p>
          <w:p w:rsidR="00A67477" w:rsidRPr="00B82D86" w:rsidRDefault="00A67477" w:rsidP="00B82D86">
            <w:pPr>
              <w:pStyle w:val="TableParagraph"/>
              <w:ind w:right="385"/>
              <w:jc w:val="lowKashida"/>
              <w:rPr>
                <w:rFonts w:asciiTheme="majorBidi" w:hAnsiTheme="majorBidi" w:cstheme="majorBidi"/>
                <w:sz w:val="20"/>
                <w:szCs w:val="20"/>
              </w:rPr>
            </w:pPr>
            <w:r w:rsidRPr="00B82D86">
              <w:rPr>
                <w:rFonts w:asciiTheme="majorBidi" w:hAnsiTheme="majorBidi" w:cstheme="majorBidi"/>
                <w:spacing w:val="-2"/>
                <w:sz w:val="20"/>
                <w:szCs w:val="20"/>
              </w:rPr>
              <w:t>disease (n=317)</w:t>
            </w:r>
          </w:p>
        </w:tc>
        <w:tc>
          <w:tcPr>
            <w:tcW w:w="933"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pacing w:val="-2"/>
                <w:sz w:val="20"/>
                <w:szCs w:val="20"/>
              </w:rPr>
              <w:t xml:space="preserve">Cerebrovascular </w:t>
            </w:r>
            <w:r w:rsidRPr="00B82D86">
              <w:rPr>
                <w:rFonts w:asciiTheme="majorBidi" w:hAnsiTheme="majorBidi" w:cstheme="majorBidi"/>
                <w:sz w:val="20"/>
                <w:szCs w:val="20"/>
              </w:rPr>
              <w:t>disease</w:t>
            </w:r>
            <w:r w:rsidRPr="00B82D86">
              <w:rPr>
                <w:rFonts w:asciiTheme="majorBidi" w:hAnsiTheme="majorBidi" w:cstheme="majorBidi"/>
                <w:spacing w:val="4"/>
                <w:sz w:val="20"/>
                <w:szCs w:val="20"/>
              </w:rPr>
              <w:t xml:space="preserve"> </w:t>
            </w:r>
            <w:r w:rsidRPr="00B82D86">
              <w:rPr>
                <w:rFonts w:asciiTheme="majorBidi" w:hAnsiTheme="majorBidi" w:cstheme="majorBidi"/>
                <w:spacing w:val="-2"/>
                <w:sz w:val="20"/>
                <w:szCs w:val="20"/>
              </w:rPr>
              <w:t>(n=301)</w:t>
            </w:r>
          </w:p>
        </w:tc>
        <w:tc>
          <w:tcPr>
            <w:tcW w:w="771"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2"/>
                <w:sz w:val="20"/>
                <w:szCs w:val="20"/>
              </w:rPr>
              <w:t>Peripheral artery</w:t>
            </w:r>
          </w:p>
          <w:p w:rsidR="00A67477" w:rsidRPr="00B82D86" w:rsidRDefault="00A67477" w:rsidP="00B82D86">
            <w:pPr>
              <w:pStyle w:val="TableParagraph"/>
              <w:ind w:left="107" w:right="407"/>
              <w:jc w:val="lowKashida"/>
              <w:rPr>
                <w:rFonts w:asciiTheme="majorBidi" w:hAnsiTheme="majorBidi" w:cstheme="majorBidi"/>
                <w:sz w:val="20"/>
                <w:szCs w:val="20"/>
              </w:rPr>
            </w:pPr>
            <w:r w:rsidRPr="00B82D86">
              <w:rPr>
                <w:rFonts w:asciiTheme="majorBidi" w:hAnsiTheme="majorBidi" w:cstheme="majorBidi"/>
                <w:spacing w:val="-2"/>
                <w:sz w:val="20"/>
                <w:szCs w:val="20"/>
              </w:rPr>
              <w:t>disease (n=382)</w:t>
            </w:r>
          </w:p>
        </w:tc>
        <w:tc>
          <w:tcPr>
            <w:tcW w:w="546"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p-value</w:t>
            </w:r>
          </w:p>
        </w:tc>
        <w:tc>
          <w:tcPr>
            <w:tcW w:w="729" w:type="pct"/>
            <w:tcBorders>
              <w:top w:val="single" w:sz="4" w:space="0" w:color="000000"/>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2"/>
                <w:sz w:val="20"/>
                <w:szCs w:val="20"/>
              </w:rPr>
              <w:t>Significance</w:t>
            </w:r>
          </w:p>
        </w:tc>
      </w:tr>
      <w:tr w:rsidR="00A67477" w:rsidRPr="00B82D86" w:rsidTr="00A67477">
        <w:trPr>
          <w:trHeight w:val="20"/>
        </w:trPr>
        <w:tc>
          <w:tcPr>
            <w:tcW w:w="77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5"/>
                <w:sz w:val="20"/>
                <w:szCs w:val="20"/>
              </w:rPr>
              <w:t>FBS</w:t>
            </w:r>
          </w:p>
        </w:tc>
        <w:tc>
          <w:tcPr>
            <w:tcW w:w="560"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2"/>
                <w:sz w:val="20"/>
                <w:szCs w:val="20"/>
              </w:rPr>
              <w:t xml:space="preserve"> </w:t>
            </w:r>
            <w:r w:rsidRPr="00B82D86">
              <w:rPr>
                <w:rFonts w:asciiTheme="majorBidi" w:hAnsiTheme="majorBidi" w:cstheme="majorBidi"/>
                <w:spacing w:val="-5"/>
                <w:sz w:val="20"/>
                <w:szCs w:val="20"/>
              </w:rPr>
              <w:t>SD</w:t>
            </w:r>
          </w:p>
        </w:tc>
        <w:tc>
          <w:tcPr>
            <w:tcW w:w="68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 xml:space="preserve">120.89 </w:t>
            </w:r>
            <w:r w:rsidRPr="00B82D86">
              <w:rPr>
                <w:rFonts w:asciiTheme="majorBidi" w:hAnsiTheme="majorBidi" w:cstheme="majorBidi"/>
                <w:spacing w:val="-10"/>
                <w:sz w:val="20"/>
                <w:szCs w:val="20"/>
              </w:rPr>
              <w:t>±</w:t>
            </w:r>
          </w:p>
        </w:tc>
        <w:tc>
          <w:tcPr>
            <w:tcW w:w="933"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120.43 ± </w:t>
            </w:r>
            <w:r w:rsidRPr="00B82D86">
              <w:rPr>
                <w:rFonts w:asciiTheme="majorBidi" w:hAnsiTheme="majorBidi" w:cstheme="majorBidi"/>
                <w:spacing w:val="-2"/>
                <w:sz w:val="20"/>
                <w:szCs w:val="20"/>
              </w:rPr>
              <w:t>17.67</w:t>
            </w:r>
          </w:p>
        </w:tc>
        <w:tc>
          <w:tcPr>
            <w:tcW w:w="771"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 xml:space="preserve">120.09 </w:t>
            </w:r>
            <w:r w:rsidRPr="00B82D86">
              <w:rPr>
                <w:rFonts w:asciiTheme="majorBidi" w:hAnsiTheme="majorBidi" w:cstheme="majorBidi"/>
                <w:spacing w:val="-10"/>
                <w:sz w:val="20"/>
                <w:szCs w:val="20"/>
              </w:rPr>
              <w:t>±</w:t>
            </w:r>
          </w:p>
        </w:tc>
        <w:tc>
          <w:tcPr>
            <w:tcW w:w="546"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F:0.186,</w:t>
            </w:r>
          </w:p>
        </w:tc>
        <w:tc>
          <w:tcPr>
            <w:tcW w:w="729"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77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(mg/</w:t>
            </w:r>
            <w:proofErr w:type="spellStart"/>
            <w:r w:rsidRPr="00B82D86">
              <w:rPr>
                <w:rFonts w:asciiTheme="majorBidi" w:hAnsiTheme="majorBidi" w:cstheme="majorBidi"/>
                <w:spacing w:val="-2"/>
                <w:sz w:val="20"/>
                <w:szCs w:val="20"/>
              </w:rPr>
              <w:t>dL</w:t>
            </w:r>
            <w:proofErr w:type="spellEnd"/>
            <w:r w:rsidRPr="00B82D86">
              <w:rPr>
                <w:rFonts w:asciiTheme="majorBidi" w:hAnsiTheme="majorBidi" w:cstheme="majorBidi"/>
                <w:spacing w:val="-2"/>
                <w:sz w:val="20"/>
                <w:szCs w:val="20"/>
              </w:rPr>
              <w:t>)</w:t>
            </w:r>
          </w:p>
        </w:tc>
        <w:tc>
          <w:tcPr>
            <w:tcW w:w="560"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17.05</w:t>
            </w:r>
          </w:p>
        </w:tc>
        <w:tc>
          <w:tcPr>
            <w:tcW w:w="933"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2"/>
                <w:sz w:val="20"/>
                <w:szCs w:val="20"/>
              </w:rPr>
              <w:t>17.37</w:t>
            </w:r>
          </w:p>
        </w:tc>
        <w:tc>
          <w:tcPr>
            <w:tcW w:w="546"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p=0.830</w:t>
            </w:r>
          </w:p>
        </w:tc>
        <w:tc>
          <w:tcPr>
            <w:tcW w:w="729"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Total</w:t>
            </w:r>
          </w:p>
        </w:tc>
        <w:tc>
          <w:tcPr>
            <w:tcW w:w="560"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2"/>
                <w:sz w:val="20"/>
                <w:szCs w:val="20"/>
              </w:rPr>
              <w:t xml:space="preserve"> </w:t>
            </w:r>
            <w:r w:rsidRPr="00B82D86">
              <w:rPr>
                <w:rFonts w:asciiTheme="majorBidi" w:hAnsiTheme="majorBidi" w:cstheme="majorBidi"/>
                <w:spacing w:val="-5"/>
                <w:sz w:val="20"/>
                <w:szCs w:val="20"/>
              </w:rPr>
              <w:t>SD</w:t>
            </w:r>
          </w:p>
        </w:tc>
        <w:tc>
          <w:tcPr>
            <w:tcW w:w="685"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 xml:space="preserve">205.88 </w:t>
            </w:r>
            <w:r w:rsidRPr="00B82D86">
              <w:rPr>
                <w:rFonts w:asciiTheme="majorBidi" w:hAnsiTheme="majorBidi" w:cstheme="majorBidi"/>
                <w:spacing w:val="-10"/>
                <w:sz w:val="20"/>
                <w:szCs w:val="20"/>
              </w:rPr>
              <w:t>±</w:t>
            </w:r>
          </w:p>
        </w:tc>
        <w:tc>
          <w:tcPr>
            <w:tcW w:w="933"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208.54 ± </w:t>
            </w:r>
            <w:r w:rsidRPr="00B82D86">
              <w:rPr>
                <w:rFonts w:asciiTheme="majorBidi" w:hAnsiTheme="majorBidi" w:cstheme="majorBidi"/>
                <w:spacing w:val="-2"/>
                <w:sz w:val="20"/>
                <w:szCs w:val="20"/>
              </w:rPr>
              <w:t>40.37</w:t>
            </w:r>
          </w:p>
        </w:tc>
        <w:tc>
          <w:tcPr>
            <w:tcW w:w="771"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 xml:space="preserve">207.54 </w:t>
            </w:r>
            <w:r w:rsidRPr="00B82D86">
              <w:rPr>
                <w:rFonts w:asciiTheme="majorBidi" w:hAnsiTheme="majorBidi" w:cstheme="majorBidi"/>
                <w:spacing w:val="-10"/>
                <w:sz w:val="20"/>
                <w:szCs w:val="20"/>
              </w:rPr>
              <w:t>±</w:t>
            </w:r>
          </w:p>
        </w:tc>
        <w:tc>
          <w:tcPr>
            <w:tcW w:w="546"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F:0.321,</w:t>
            </w:r>
          </w:p>
        </w:tc>
        <w:tc>
          <w:tcPr>
            <w:tcW w:w="729"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775" w:type="pct"/>
            <w:tcBorders>
              <w:top w:val="nil"/>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Cholesterol</w:t>
            </w:r>
          </w:p>
        </w:tc>
        <w:tc>
          <w:tcPr>
            <w:tcW w:w="560" w:type="pct"/>
            <w:tcBorders>
              <w:top w:val="nil"/>
              <w:left w:val="single" w:sz="4" w:space="0" w:color="000000"/>
              <w:bottom w:val="nil"/>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42.10</w:t>
            </w:r>
          </w:p>
        </w:tc>
        <w:tc>
          <w:tcPr>
            <w:tcW w:w="933" w:type="pct"/>
            <w:tcBorders>
              <w:top w:val="nil"/>
              <w:left w:val="single" w:sz="4" w:space="0" w:color="000000"/>
              <w:bottom w:val="nil"/>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2"/>
                <w:sz w:val="20"/>
                <w:szCs w:val="20"/>
              </w:rPr>
              <w:t>42.70</w:t>
            </w:r>
          </w:p>
        </w:tc>
        <w:tc>
          <w:tcPr>
            <w:tcW w:w="546" w:type="pct"/>
            <w:tcBorders>
              <w:top w:val="nil"/>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p=0.726</w:t>
            </w:r>
          </w:p>
        </w:tc>
        <w:tc>
          <w:tcPr>
            <w:tcW w:w="729" w:type="pct"/>
            <w:tcBorders>
              <w:top w:val="nil"/>
              <w:left w:val="single" w:sz="4" w:space="0" w:color="000000"/>
              <w:bottom w:val="nil"/>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tcBorders>
              <w:top w:val="nil"/>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(mg/</w:t>
            </w:r>
            <w:proofErr w:type="spellStart"/>
            <w:r w:rsidRPr="00B82D86">
              <w:rPr>
                <w:rFonts w:asciiTheme="majorBidi" w:hAnsiTheme="majorBidi" w:cstheme="majorBidi"/>
                <w:spacing w:val="-2"/>
                <w:sz w:val="20"/>
                <w:szCs w:val="20"/>
              </w:rPr>
              <w:t>dL</w:t>
            </w:r>
            <w:proofErr w:type="spellEnd"/>
            <w:r w:rsidRPr="00B82D86">
              <w:rPr>
                <w:rFonts w:asciiTheme="majorBidi" w:hAnsiTheme="majorBidi" w:cstheme="majorBidi"/>
                <w:spacing w:val="-2"/>
                <w:sz w:val="20"/>
                <w:szCs w:val="20"/>
              </w:rPr>
              <w:t>)</w:t>
            </w:r>
          </w:p>
        </w:tc>
        <w:tc>
          <w:tcPr>
            <w:tcW w:w="560"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933"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46"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29"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Triglycerides</w:t>
            </w:r>
          </w:p>
        </w:tc>
        <w:tc>
          <w:tcPr>
            <w:tcW w:w="560"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2"/>
                <w:sz w:val="20"/>
                <w:szCs w:val="20"/>
              </w:rPr>
              <w:t xml:space="preserve"> </w:t>
            </w:r>
            <w:r w:rsidRPr="00B82D86">
              <w:rPr>
                <w:rFonts w:asciiTheme="majorBidi" w:hAnsiTheme="majorBidi" w:cstheme="majorBidi"/>
                <w:spacing w:val="-5"/>
                <w:sz w:val="20"/>
                <w:szCs w:val="20"/>
              </w:rPr>
              <w:t>SD</w:t>
            </w:r>
          </w:p>
        </w:tc>
        <w:tc>
          <w:tcPr>
            <w:tcW w:w="68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 xml:space="preserve">223.29 </w:t>
            </w:r>
            <w:r w:rsidRPr="00B82D86">
              <w:rPr>
                <w:rFonts w:asciiTheme="majorBidi" w:hAnsiTheme="majorBidi" w:cstheme="majorBidi"/>
                <w:spacing w:val="-10"/>
                <w:sz w:val="20"/>
                <w:szCs w:val="20"/>
              </w:rPr>
              <w:t>±</w:t>
            </w:r>
          </w:p>
        </w:tc>
        <w:tc>
          <w:tcPr>
            <w:tcW w:w="933"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224.04 ± </w:t>
            </w:r>
            <w:r w:rsidRPr="00B82D86">
              <w:rPr>
                <w:rFonts w:asciiTheme="majorBidi" w:hAnsiTheme="majorBidi" w:cstheme="majorBidi"/>
                <w:spacing w:val="-2"/>
                <w:sz w:val="20"/>
                <w:szCs w:val="20"/>
              </w:rPr>
              <w:t>41.48</w:t>
            </w:r>
          </w:p>
        </w:tc>
        <w:tc>
          <w:tcPr>
            <w:tcW w:w="771"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 xml:space="preserve">225.81 </w:t>
            </w:r>
            <w:r w:rsidRPr="00B82D86">
              <w:rPr>
                <w:rFonts w:asciiTheme="majorBidi" w:hAnsiTheme="majorBidi" w:cstheme="majorBidi"/>
                <w:spacing w:val="-10"/>
                <w:sz w:val="20"/>
                <w:szCs w:val="20"/>
              </w:rPr>
              <w:t>±</w:t>
            </w:r>
          </w:p>
        </w:tc>
        <w:tc>
          <w:tcPr>
            <w:tcW w:w="546"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F:0.354,</w:t>
            </w:r>
          </w:p>
        </w:tc>
        <w:tc>
          <w:tcPr>
            <w:tcW w:w="729"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77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(mg/</w:t>
            </w:r>
            <w:proofErr w:type="spellStart"/>
            <w:r w:rsidRPr="00B82D86">
              <w:rPr>
                <w:rFonts w:asciiTheme="majorBidi" w:hAnsiTheme="majorBidi" w:cstheme="majorBidi"/>
                <w:spacing w:val="-2"/>
                <w:sz w:val="20"/>
                <w:szCs w:val="20"/>
              </w:rPr>
              <w:t>dL</w:t>
            </w:r>
            <w:proofErr w:type="spellEnd"/>
            <w:r w:rsidRPr="00B82D86">
              <w:rPr>
                <w:rFonts w:asciiTheme="majorBidi" w:hAnsiTheme="majorBidi" w:cstheme="majorBidi"/>
                <w:spacing w:val="-2"/>
                <w:sz w:val="20"/>
                <w:szCs w:val="20"/>
              </w:rPr>
              <w:t>)</w:t>
            </w:r>
          </w:p>
        </w:tc>
        <w:tc>
          <w:tcPr>
            <w:tcW w:w="560"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40.02</w:t>
            </w:r>
          </w:p>
        </w:tc>
        <w:tc>
          <w:tcPr>
            <w:tcW w:w="933"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2"/>
                <w:sz w:val="20"/>
                <w:szCs w:val="20"/>
              </w:rPr>
              <w:t>41.14</w:t>
            </w:r>
          </w:p>
        </w:tc>
        <w:tc>
          <w:tcPr>
            <w:tcW w:w="546"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p=0.702</w:t>
            </w:r>
          </w:p>
        </w:tc>
        <w:tc>
          <w:tcPr>
            <w:tcW w:w="729"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5"/>
                <w:sz w:val="20"/>
                <w:szCs w:val="20"/>
              </w:rPr>
              <w:t>LDL</w:t>
            </w:r>
          </w:p>
        </w:tc>
        <w:tc>
          <w:tcPr>
            <w:tcW w:w="560"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2"/>
                <w:sz w:val="20"/>
                <w:szCs w:val="20"/>
              </w:rPr>
              <w:t xml:space="preserve"> </w:t>
            </w:r>
            <w:r w:rsidRPr="00B82D86">
              <w:rPr>
                <w:rFonts w:asciiTheme="majorBidi" w:hAnsiTheme="majorBidi" w:cstheme="majorBidi"/>
                <w:spacing w:val="-5"/>
                <w:sz w:val="20"/>
                <w:szCs w:val="20"/>
              </w:rPr>
              <w:t>SD</w:t>
            </w:r>
          </w:p>
        </w:tc>
        <w:tc>
          <w:tcPr>
            <w:tcW w:w="685"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 xml:space="preserve">125.85 </w:t>
            </w:r>
            <w:r w:rsidRPr="00B82D86">
              <w:rPr>
                <w:rFonts w:asciiTheme="majorBidi" w:hAnsiTheme="majorBidi" w:cstheme="majorBidi"/>
                <w:spacing w:val="-10"/>
                <w:sz w:val="20"/>
                <w:szCs w:val="20"/>
              </w:rPr>
              <w:t>±</w:t>
            </w:r>
          </w:p>
        </w:tc>
        <w:tc>
          <w:tcPr>
            <w:tcW w:w="933"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125.07 ± </w:t>
            </w:r>
            <w:r w:rsidRPr="00B82D86">
              <w:rPr>
                <w:rFonts w:asciiTheme="majorBidi" w:hAnsiTheme="majorBidi" w:cstheme="majorBidi"/>
                <w:spacing w:val="-2"/>
                <w:sz w:val="20"/>
                <w:szCs w:val="20"/>
              </w:rPr>
              <w:t>22.93</w:t>
            </w:r>
          </w:p>
        </w:tc>
        <w:tc>
          <w:tcPr>
            <w:tcW w:w="771"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 xml:space="preserve">126.88 </w:t>
            </w:r>
            <w:r w:rsidRPr="00B82D86">
              <w:rPr>
                <w:rFonts w:asciiTheme="majorBidi" w:hAnsiTheme="majorBidi" w:cstheme="majorBidi"/>
                <w:spacing w:val="-10"/>
                <w:sz w:val="20"/>
                <w:szCs w:val="20"/>
              </w:rPr>
              <w:t>±</w:t>
            </w:r>
          </w:p>
        </w:tc>
        <w:tc>
          <w:tcPr>
            <w:tcW w:w="546"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F:0.524,</w:t>
            </w:r>
          </w:p>
        </w:tc>
        <w:tc>
          <w:tcPr>
            <w:tcW w:w="729" w:type="pct"/>
            <w:tcBorders>
              <w:top w:val="single" w:sz="4" w:space="0" w:color="000000"/>
              <w:left w:val="single" w:sz="4" w:space="0" w:color="000000"/>
              <w:bottom w:val="nil"/>
              <w:right w:val="single" w:sz="4" w:space="0" w:color="000000"/>
            </w:tcBorders>
            <w:shd w:val="clear" w:color="auto" w:fill="E7FFFF"/>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775" w:type="pct"/>
            <w:tcBorders>
              <w:top w:val="nil"/>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(mg/</w:t>
            </w:r>
            <w:proofErr w:type="spellStart"/>
            <w:r w:rsidRPr="00B82D86">
              <w:rPr>
                <w:rFonts w:asciiTheme="majorBidi" w:hAnsiTheme="majorBidi" w:cstheme="majorBidi"/>
                <w:spacing w:val="-2"/>
                <w:sz w:val="20"/>
                <w:szCs w:val="20"/>
              </w:rPr>
              <w:t>dL</w:t>
            </w:r>
            <w:proofErr w:type="spellEnd"/>
            <w:r w:rsidRPr="00B82D86">
              <w:rPr>
                <w:rFonts w:asciiTheme="majorBidi" w:hAnsiTheme="majorBidi" w:cstheme="majorBidi"/>
                <w:spacing w:val="-2"/>
                <w:sz w:val="20"/>
                <w:szCs w:val="20"/>
              </w:rPr>
              <w:t>)</w:t>
            </w:r>
          </w:p>
        </w:tc>
        <w:tc>
          <w:tcPr>
            <w:tcW w:w="560"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22.89</w:t>
            </w:r>
          </w:p>
        </w:tc>
        <w:tc>
          <w:tcPr>
            <w:tcW w:w="933"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2"/>
                <w:sz w:val="20"/>
                <w:szCs w:val="20"/>
              </w:rPr>
              <w:t>23.67</w:t>
            </w:r>
          </w:p>
        </w:tc>
        <w:tc>
          <w:tcPr>
            <w:tcW w:w="546" w:type="pct"/>
            <w:tcBorders>
              <w:top w:val="nil"/>
              <w:left w:val="single" w:sz="4" w:space="0" w:color="000000"/>
              <w:bottom w:val="single" w:sz="4" w:space="0" w:color="000000"/>
              <w:right w:val="single" w:sz="4" w:space="0" w:color="000000"/>
            </w:tcBorders>
            <w:shd w:val="clear" w:color="auto" w:fill="E7FFFF"/>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p=0.592</w:t>
            </w:r>
          </w:p>
        </w:tc>
        <w:tc>
          <w:tcPr>
            <w:tcW w:w="729" w:type="pct"/>
            <w:tcBorders>
              <w:top w:val="nil"/>
              <w:left w:val="single" w:sz="4" w:space="0" w:color="000000"/>
              <w:bottom w:val="single" w:sz="4" w:space="0" w:color="000000"/>
              <w:right w:val="single" w:sz="4" w:space="0" w:color="000000"/>
            </w:tcBorders>
            <w:shd w:val="clear" w:color="auto" w:fill="E7FFFF"/>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5"/>
                <w:sz w:val="20"/>
                <w:szCs w:val="20"/>
              </w:rPr>
              <w:t>HDL</w:t>
            </w:r>
          </w:p>
        </w:tc>
        <w:tc>
          <w:tcPr>
            <w:tcW w:w="560"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Mean</w:t>
            </w:r>
            <w:r w:rsidRPr="00B82D86">
              <w:rPr>
                <w:rFonts w:asciiTheme="majorBidi" w:hAnsiTheme="majorBidi" w:cstheme="majorBidi"/>
                <w:spacing w:val="1"/>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2"/>
                <w:sz w:val="20"/>
                <w:szCs w:val="20"/>
              </w:rPr>
              <w:t xml:space="preserve"> </w:t>
            </w:r>
            <w:r w:rsidRPr="00B82D86">
              <w:rPr>
                <w:rFonts w:asciiTheme="majorBidi" w:hAnsiTheme="majorBidi" w:cstheme="majorBidi"/>
                <w:spacing w:val="-5"/>
                <w:sz w:val="20"/>
                <w:szCs w:val="20"/>
              </w:rPr>
              <w:t>SD</w:t>
            </w:r>
          </w:p>
        </w:tc>
        <w:tc>
          <w:tcPr>
            <w:tcW w:w="68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 xml:space="preserve">46.30 </w:t>
            </w:r>
            <w:r w:rsidRPr="00B82D86">
              <w:rPr>
                <w:rFonts w:asciiTheme="majorBidi" w:hAnsiTheme="majorBidi" w:cstheme="majorBidi"/>
                <w:spacing w:val="-10"/>
                <w:sz w:val="20"/>
                <w:szCs w:val="20"/>
              </w:rPr>
              <w:t>±</w:t>
            </w:r>
          </w:p>
        </w:tc>
        <w:tc>
          <w:tcPr>
            <w:tcW w:w="933"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 xml:space="preserve">46.34 ± </w:t>
            </w:r>
            <w:r w:rsidRPr="00B82D86">
              <w:rPr>
                <w:rFonts w:asciiTheme="majorBidi" w:hAnsiTheme="majorBidi" w:cstheme="majorBidi"/>
                <w:spacing w:val="-4"/>
                <w:sz w:val="20"/>
                <w:szCs w:val="20"/>
              </w:rPr>
              <w:t>6.91</w:t>
            </w:r>
          </w:p>
        </w:tc>
        <w:tc>
          <w:tcPr>
            <w:tcW w:w="771"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 xml:space="preserve">46.30 </w:t>
            </w:r>
            <w:r w:rsidRPr="00B82D86">
              <w:rPr>
                <w:rFonts w:asciiTheme="majorBidi" w:hAnsiTheme="majorBidi" w:cstheme="majorBidi"/>
                <w:spacing w:val="-10"/>
                <w:sz w:val="20"/>
                <w:szCs w:val="20"/>
              </w:rPr>
              <w:t>±</w:t>
            </w:r>
          </w:p>
        </w:tc>
        <w:tc>
          <w:tcPr>
            <w:tcW w:w="546"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F:0.004,</w:t>
            </w:r>
          </w:p>
        </w:tc>
        <w:tc>
          <w:tcPr>
            <w:tcW w:w="729"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77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10"/>
              <w:jc w:val="lowKashida"/>
              <w:rPr>
                <w:rFonts w:asciiTheme="majorBidi" w:hAnsiTheme="majorBidi" w:cstheme="majorBidi"/>
                <w:sz w:val="20"/>
                <w:szCs w:val="20"/>
              </w:rPr>
            </w:pPr>
            <w:r w:rsidRPr="00B82D86">
              <w:rPr>
                <w:rFonts w:asciiTheme="majorBidi" w:hAnsiTheme="majorBidi" w:cstheme="majorBidi"/>
                <w:spacing w:val="-2"/>
                <w:sz w:val="20"/>
                <w:szCs w:val="20"/>
              </w:rPr>
              <w:t>(mg/</w:t>
            </w:r>
            <w:proofErr w:type="spellStart"/>
            <w:r w:rsidRPr="00B82D86">
              <w:rPr>
                <w:rFonts w:asciiTheme="majorBidi" w:hAnsiTheme="majorBidi" w:cstheme="majorBidi"/>
                <w:spacing w:val="-2"/>
                <w:sz w:val="20"/>
                <w:szCs w:val="20"/>
              </w:rPr>
              <w:t>dL</w:t>
            </w:r>
            <w:proofErr w:type="spellEnd"/>
            <w:r w:rsidRPr="00B82D86">
              <w:rPr>
                <w:rFonts w:asciiTheme="majorBidi" w:hAnsiTheme="majorBidi" w:cstheme="majorBidi"/>
                <w:spacing w:val="-2"/>
                <w:sz w:val="20"/>
                <w:szCs w:val="20"/>
              </w:rPr>
              <w:t>)</w:t>
            </w:r>
          </w:p>
        </w:tc>
        <w:tc>
          <w:tcPr>
            <w:tcW w:w="560"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68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7.21</w:t>
            </w:r>
          </w:p>
        </w:tc>
        <w:tc>
          <w:tcPr>
            <w:tcW w:w="933"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771"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4"/>
                <w:sz w:val="20"/>
                <w:szCs w:val="20"/>
              </w:rPr>
              <w:t>7.09</w:t>
            </w:r>
          </w:p>
        </w:tc>
        <w:tc>
          <w:tcPr>
            <w:tcW w:w="546"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p=0.996</w:t>
            </w:r>
          </w:p>
        </w:tc>
        <w:tc>
          <w:tcPr>
            <w:tcW w:w="729" w:type="pct"/>
            <w:tcBorders>
              <w:top w:val="nil"/>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r>
      <w:tr w:rsidR="00A67477" w:rsidRPr="00B82D86" w:rsidTr="00A67477">
        <w:trPr>
          <w:trHeight w:val="20"/>
        </w:trPr>
        <w:tc>
          <w:tcPr>
            <w:tcW w:w="775" w:type="pct"/>
            <w:vMerge w:val="restar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2"/>
                <w:sz w:val="20"/>
                <w:szCs w:val="20"/>
              </w:rPr>
              <w:t>Female</w:t>
            </w:r>
          </w:p>
        </w:tc>
        <w:tc>
          <w:tcPr>
            <w:tcW w:w="68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47.77</w:t>
            </w:r>
            <w:r w:rsidRPr="00B82D86">
              <w:rPr>
                <w:rFonts w:asciiTheme="majorBidi" w:hAnsiTheme="majorBidi" w:cstheme="majorBidi"/>
                <w:spacing w:val="-8"/>
                <w:sz w:val="20"/>
                <w:szCs w:val="20"/>
              </w:rPr>
              <w:t xml:space="preserve"> </w:t>
            </w:r>
            <w:r w:rsidRPr="00B82D86">
              <w:rPr>
                <w:rFonts w:asciiTheme="majorBidi" w:hAnsiTheme="majorBidi" w:cstheme="majorBidi"/>
                <w:spacing w:val="-12"/>
                <w:sz w:val="20"/>
                <w:szCs w:val="20"/>
              </w:rPr>
              <w:t>±</w:t>
            </w:r>
          </w:p>
        </w:tc>
        <w:tc>
          <w:tcPr>
            <w:tcW w:w="93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47.00</w:t>
            </w:r>
            <w:r w:rsidRPr="00B82D86">
              <w:rPr>
                <w:rFonts w:asciiTheme="majorBidi" w:hAnsiTheme="majorBidi" w:cstheme="majorBidi"/>
                <w:spacing w:val="-7"/>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3"/>
                <w:sz w:val="20"/>
                <w:szCs w:val="20"/>
              </w:rPr>
              <w:t xml:space="preserve"> </w:t>
            </w:r>
            <w:r w:rsidRPr="00B82D86">
              <w:rPr>
                <w:rFonts w:asciiTheme="majorBidi" w:hAnsiTheme="majorBidi" w:cstheme="majorBidi"/>
                <w:spacing w:val="-4"/>
                <w:sz w:val="20"/>
                <w:szCs w:val="20"/>
              </w:rPr>
              <w:t>7.05</w:t>
            </w:r>
          </w:p>
        </w:tc>
        <w:tc>
          <w:tcPr>
            <w:tcW w:w="771"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47.16</w:t>
            </w:r>
            <w:r w:rsidRPr="00B82D86">
              <w:rPr>
                <w:rFonts w:asciiTheme="majorBidi" w:hAnsiTheme="majorBidi" w:cstheme="majorBidi"/>
                <w:spacing w:val="-8"/>
                <w:sz w:val="20"/>
                <w:szCs w:val="20"/>
              </w:rPr>
              <w:t xml:space="preserve"> </w:t>
            </w:r>
            <w:r w:rsidRPr="00B82D86">
              <w:rPr>
                <w:rFonts w:asciiTheme="majorBidi" w:hAnsiTheme="majorBidi" w:cstheme="majorBidi"/>
                <w:spacing w:val="-12"/>
                <w:sz w:val="20"/>
                <w:szCs w:val="20"/>
              </w:rPr>
              <w:t>±</w:t>
            </w:r>
          </w:p>
        </w:tc>
        <w:tc>
          <w:tcPr>
            <w:tcW w:w="546"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0.686</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68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7.73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771"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4"/>
                <w:sz w:val="20"/>
                <w:szCs w:val="20"/>
              </w:rPr>
              <w:t>7.16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r>
      <w:tr w:rsidR="00A67477" w:rsidRPr="00B82D86" w:rsidTr="00A67477">
        <w:trPr>
          <w:trHeight w:val="20"/>
        </w:trPr>
        <w:tc>
          <w:tcPr>
            <w:tcW w:w="775" w:type="pct"/>
            <w:vMerge w:val="restart"/>
            <w:tcBorders>
              <w:top w:val="single" w:sz="4" w:space="0" w:color="000000"/>
              <w:left w:val="single" w:sz="4" w:space="0" w:color="000000"/>
              <w:bottom w:val="single" w:sz="4" w:space="0" w:color="000000"/>
              <w:right w:val="single" w:sz="4" w:space="0" w:color="000000"/>
            </w:tcBorders>
            <w:vAlign w:val="center"/>
          </w:tcPr>
          <w:p w:rsidR="00A67477" w:rsidRPr="00B82D86" w:rsidRDefault="00A67477" w:rsidP="00B82D86">
            <w:pPr>
              <w:pStyle w:val="TableParagraph"/>
              <w:jc w:val="lowKashida"/>
              <w:rPr>
                <w:rFonts w:asciiTheme="majorBidi" w:hAnsiTheme="majorBidi" w:cstheme="majorBidi"/>
                <w:sz w:val="20"/>
                <w:szCs w:val="20"/>
              </w:rPr>
            </w:pPr>
          </w:p>
        </w:tc>
        <w:tc>
          <w:tcPr>
            <w:tcW w:w="560"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Male</w:t>
            </w:r>
          </w:p>
        </w:tc>
        <w:tc>
          <w:tcPr>
            <w:tcW w:w="685"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z w:val="20"/>
                <w:szCs w:val="20"/>
              </w:rPr>
              <w:t>45.29</w:t>
            </w:r>
            <w:r w:rsidRPr="00B82D86">
              <w:rPr>
                <w:rFonts w:asciiTheme="majorBidi" w:hAnsiTheme="majorBidi" w:cstheme="majorBidi"/>
                <w:spacing w:val="-8"/>
                <w:sz w:val="20"/>
                <w:szCs w:val="20"/>
              </w:rPr>
              <w:t xml:space="preserve"> </w:t>
            </w:r>
            <w:r w:rsidRPr="00B82D86">
              <w:rPr>
                <w:rFonts w:asciiTheme="majorBidi" w:hAnsiTheme="majorBidi" w:cstheme="majorBidi"/>
                <w:spacing w:val="-12"/>
                <w:sz w:val="20"/>
                <w:szCs w:val="20"/>
              </w:rPr>
              <w:t>±</w:t>
            </w:r>
          </w:p>
        </w:tc>
        <w:tc>
          <w:tcPr>
            <w:tcW w:w="933"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8"/>
              <w:jc w:val="lowKashida"/>
              <w:rPr>
                <w:rFonts w:asciiTheme="majorBidi" w:hAnsiTheme="majorBidi" w:cstheme="majorBidi"/>
                <w:sz w:val="20"/>
                <w:szCs w:val="20"/>
              </w:rPr>
            </w:pPr>
            <w:r w:rsidRPr="00B82D86">
              <w:rPr>
                <w:rFonts w:asciiTheme="majorBidi" w:hAnsiTheme="majorBidi" w:cstheme="majorBidi"/>
                <w:sz w:val="20"/>
                <w:szCs w:val="20"/>
              </w:rPr>
              <w:t>45.92</w:t>
            </w:r>
            <w:r w:rsidRPr="00B82D86">
              <w:rPr>
                <w:rFonts w:asciiTheme="majorBidi" w:hAnsiTheme="majorBidi" w:cstheme="majorBidi"/>
                <w:spacing w:val="-7"/>
                <w:sz w:val="20"/>
                <w:szCs w:val="20"/>
              </w:rPr>
              <w:t xml:space="preserve"> </w:t>
            </w:r>
            <w:r w:rsidRPr="00B82D86">
              <w:rPr>
                <w:rFonts w:asciiTheme="majorBidi" w:hAnsiTheme="majorBidi" w:cstheme="majorBidi"/>
                <w:sz w:val="20"/>
                <w:szCs w:val="20"/>
              </w:rPr>
              <w:t>±</w:t>
            </w:r>
            <w:r w:rsidRPr="00B82D86">
              <w:rPr>
                <w:rFonts w:asciiTheme="majorBidi" w:hAnsiTheme="majorBidi" w:cstheme="majorBidi"/>
                <w:spacing w:val="-3"/>
                <w:sz w:val="20"/>
                <w:szCs w:val="20"/>
              </w:rPr>
              <w:t xml:space="preserve"> </w:t>
            </w:r>
            <w:r w:rsidRPr="00B82D86">
              <w:rPr>
                <w:rFonts w:asciiTheme="majorBidi" w:hAnsiTheme="majorBidi" w:cstheme="majorBidi"/>
                <w:spacing w:val="-4"/>
                <w:sz w:val="20"/>
                <w:szCs w:val="20"/>
              </w:rPr>
              <w:t>6.81</w:t>
            </w:r>
          </w:p>
        </w:tc>
        <w:tc>
          <w:tcPr>
            <w:tcW w:w="771" w:type="pct"/>
            <w:tcBorders>
              <w:top w:val="single" w:sz="4" w:space="0" w:color="000000"/>
              <w:left w:val="single" w:sz="4" w:space="0" w:color="000000"/>
              <w:bottom w:val="nil"/>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z w:val="20"/>
                <w:szCs w:val="20"/>
              </w:rPr>
              <w:t>45.75</w:t>
            </w:r>
            <w:r w:rsidRPr="00B82D86">
              <w:rPr>
                <w:rFonts w:asciiTheme="majorBidi" w:hAnsiTheme="majorBidi" w:cstheme="majorBidi"/>
                <w:spacing w:val="-8"/>
                <w:sz w:val="20"/>
                <w:szCs w:val="20"/>
              </w:rPr>
              <w:t xml:space="preserve"> </w:t>
            </w:r>
            <w:r w:rsidRPr="00B82D86">
              <w:rPr>
                <w:rFonts w:asciiTheme="majorBidi" w:hAnsiTheme="majorBidi" w:cstheme="majorBidi"/>
                <w:spacing w:val="-12"/>
                <w:sz w:val="20"/>
                <w:szCs w:val="20"/>
              </w:rPr>
              <w:t>±</w:t>
            </w:r>
          </w:p>
        </w:tc>
        <w:tc>
          <w:tcPr>
            <w:tcW w:w="546"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2"/>
              <w:jc w:val="lowKashida"/>
              <w:rPr>
                <w:rFonts w:asciiTheme="majorBidi" w:hAnsiTheme="majorBidi" w:cstheme="majorBidi"/>
                <w:sz w:val="20"/>
                <w:szCs w:val="20"/>
              </w:rPr>
            </w:pPr>
            <w:r w:rsidRPr="00B82D86">
              <w:rPr>
                <w:rFonts w:asciiTheme="majorBidi" w:hAnsiTheme="majorBidi" w:cstheme="majorBidi"/>
                <w:spacing w:val="-2"/>
                <w:sz w:val="20"/>
                <w:szCs w:val="20"/>
              </w:rPr>
              <w:t>0.6937</w:t>
            </w:r>
          </w:p>
        </w:tc>
        <w:tc>
          <w:tcPr>
            <w:tcW w:w="729" w:type="pct"/>
            <w:vMerge w:val="restart"/>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6"/>
              <w:jc w:val="lowKashida"/>
              <w:rPr>
                <w:rFonts w:asciiTheme="majorBidi" w:hAnsiTheme="majorBidi" w:cstheme="majorBidi"/>
                <w:sz w:val="20"/>
                <w:szCs w:val="20"/>
              </w:rPr>
            </w:pPr>
            <w:r w:rsidRPr="00B82D86">
              <w:rPr>
                <w:rFonts w:asciiTheme="majorBidi" w:hAnsiTheme="majorBidi" w:cstheme="majorBidi"/>
                <w:spacing w:val="-5"/>
                <w:sz w:val="20"/>
                <w:szCs w:val="20"/>
              </w:rPr>
              <w:t>NS</w:t>
            </w:r>
          </w:p>
        </w:tc>
      </w:tr>
      <w:tr w:rsidR="00A67477" w:rsidRPr="00B82D86" w:rsidTr="00A674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685"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jc w:val="lowKashida"/>
              <w:rPr>
                <w:rFonts w:asciiTheme="majorBidi" w:hAnsiTheme="majorBidi" w:cstheme="majorBidi"/>
                <w:sz w:val="20"/>
                <w:szCs w:val="20"/>
              </w:rPr>
            </w:pPr>
            <w:r w:rsidRPr="00B82D86">
              <w:rPr>
                <w:rFonts w:asciiTheme="majorBidi" w:hAnsiTheme="majorBidi" w:cstheme="majorBidi"/>
                <w:spacing w:val="-4"/>
                <w:sz w:val="20"/>
                <w:szCs w:val="20"/>
              </w:rPr>
              <w:t>6.66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771" w:type="pct"/>
            <w:tcBorders>
              <w:top w:val="nil"/>
              <w:left w:val="single" w:sz="4" w:space="0" w:color="000000"/>
              <w:bottom w:val="single" w:sz="4" w:space="0" w:color="000000"/>
              <w:right w:val="single" w:sz="4" w:space="0" w:color="000000"/>
            </w:tcBorders>
            <w:vAlign w:val="center"/>
            <w:hideMark/>
          </w:tcPr>
          <w:p w:rsidR="00A67477" w:rsidRPr="00B82D86" w:rsidRDefault="00A67477" w:rsidP="00B82D86">
            <w:pPr>
              <w:pStyle w:val="TableParagraph"/>
              <w:ind w:left="107"/>
              <w:jc w:val="lowKashida"/>
              <w:rPr>
                <w:rFonts w:asciiTheme="majorBidi" w:hAnsiTheme="majorBidi" w:cstheme="majorBidi"/>
                <w:sz w:val="20"/>
                <w:szCs w:val="20"/>
              </w:rPr>
            </w:pPr>
            <w:r w:rsidRPr="00B82D86">
              <w:rPr>
                <w:rFonts w:asciiTheme="majorBidi" w:hAnsiTheme="majorBidi" w:cstheme="majorBidi"/>
                <w:spacing w:val="-4"/>
                <w:sz w:val="20"/>
                <w:szCs w:val="20"/>
              </w:rPr>
              <w:t>7.00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67477" w:rsidRPr="00B82D86" w:rsidRDefault="00A67477" w:rsidP="00B82D86">
            <w:pPr>
              <w:spacing w:after="0" w:line="240" w:lineRule="auto"/>
              <w:jc w:val="lowKashida"/>
              <w:rPr>
                <w:rFonts w:asciiTheme="majorBidi" w:eastAsia="Times New Roman" w:hAnsiTheme="majorBidi" w:cstheme="majorBidi"/>
                <w:sz w:val="20"/>
                <w:szCs w:val="20"/>
              </w:rPr>
            </w:pPr>
          </w:p>
        </w:tc>
      </w:tr>
    </w:tbl>
    <w:p w:rsidR="00166541" w:rsidRPr="00A67477" w:rsidRDefault="00166541" w:rsidP="00A67477">
      <w:pPr>
        <w:spacing w:before="240" w:line="240" w:lineRule="auto"/>
        <w:jc w:val="lowKashida"/>
        <w:rPr>
          <w:rFonts w:asciiTheme="majorBidi" w:hAnsiTheme="majorBidi" w:cstheme="majorBidi"/>
          <w:b/>
          <w:bCs/>
          <w:sz w:val="24"/>
          <w:szCs w:val="24"/>
          <w:lang w:bidi="ar-EG"/>
        </w:rPr>
      </w:pPr>
      <w:r w:rsidRPr="00A67477">
        <w:rPr>
          <w:rFonts w:asciiTheme="majorBidi" w:hAnsiTheme="majorBidi" w:cstheme="majorBidi"/>
          <w:b/>
          <w:bCs/>
          <w:sz w:val="24"/>
          <w:szCs w:val="24"/>
          <w:lang w:bidi="ar-EG"/>
        </w:rPr>
        <w:t>Discussion</w:t>
      </w:r>
    </w:p>
    <w:p w:rsidR="00260A5A" w:rsidRDefault="00166541" w:rsidP="00260A5A">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Cardiovascular disease (CVD) is the predominant global cause of mortality, contributing to substantial death and disability, especially from atherosclerosis-related illnesses such as coronary heart disease, stroke, and peripheral artery disease (</w:t>
      </w:r>
      <w:proofErr w:type="spellStart"/>
      <w:r w:rsidRPr="00166541">
        <w:rPr>
          <w:rFonts w:asciiTheme="majorBidi" w:eastAsia="Times New Roman" w:hAnsiTheme="majorBidi" w:cstheme="majorBidi"/>
          <w:sz w:val="24"/>
          <w:szCs w:val="24"/>
        </w:rPr>
        <w:t>Azab</w:t>
      </w:r>
      <w:proofErr w:type="spellEnd"/>
      <w:r w:rsidRPr="00166541">
        <w:rPr>
          <w:rFonts w:asciiTheme="majorBidi" w:eastAsia="Times New Roman" w:hAnsiTheme="majorBidi" w:cstheme="majorBidi"/>
          <w:sz w:val="24"/>
          <w:szCs w:val="24"/>
        </w:rPr>
        <w:t xml:space="preserve"> et al., 2018; </w:t>
      </w:r>
      <w:proofErr w:type="spellStart"/>
      <w:r w:rsidRPr="00166541">
        <w:rPr>
          <w:rFonts w:asciiTheme="majorBidi" w:eastAsia="Times New Roman" w:hAnsiTheme="majorBidi" w:cstheme="majorBidi"/>
          <w:sz w:val="24"/>
          <w:szCs w:val="24"/>
        </w:rPr>
        <w:t>TurkAdawi</w:t>
      </w:r>
      <w:proofErr w:type="spellEnd"/>
      <w:r w:rsidRPr="00166541">
        <w:rPr>
          <w:rFonts w:asciiTheme="majorBidi" w:eastAsia="Times New Roman" w:hAnsiTheme="majorBidi" w:cstheme="majorBidi"/>
          <w:sz w:val="24"/>
          <w:szCs w:val="24"/>
        </w:rPr>
        <w:t xml:space="preserve"> et al., 2018). It represents more than 40 million disability-adjusted life years per year, with early mortality constituting the predominant portion of this burden. The prevalence of cardiovascular disease increases with age, impacting about 50% of persons over 20 years old (Ramadan et al., 2024; </w:t>
      </w:r>
      <w:proofErr w:type="spellStart"/>
      <w:r w:rsidRPr="00166541">
        <w:rPr>
          <w:rFonts w:asciiTheme="majorBidi" w:eastAsia="Times New Roman" w:hAnsiTheme="majorBidi" w:cstheme="majorBidi"/>
          <w:sz w:val="24"/>
          <w:szCs w:val="24"/>
        </w:rPr>
        <w:t>Elamragy</w:t>
      </w:r>
      <w:proofErr w:type="spellEnd"/>
      <w:r w:rsidRPr="00166541">
        <w:rPr>
          <w:rFonts w:asciiTheme="majorBidi" w:eastAsia="Times New Roman" w:hAnsiTheme="majorBidi" w:cstheme="majorBidi"/>
          <w:sz w:val="24"/>
          <w:szCs w:val="24"/>
        </w:rPr>
        <w:t xml:space="preserve"> et al., 2021). Atherosclerosis, the principal underlying disease, is propelled by inflammatory mechanisms and endothelial dysfunction, predominantly affected by modifiable risk factors such as hypertension, smoking, diabetes, and </w:t>
      </w:r>
      <w:proofErr w:type="spellStart"/>
      <w:r w:rsidRPr="00166541">
        <w:rPr>
          <w:rFonts w:asciiTheme="majorBidi" w:eastAsia="Times New Roman" w:hAnsiTheme="majorBidi" w:cstheme="majorBidi"/>
          <w:sz w:val="24"/>
          <w:szCs w:val="24"/>
        </w:rPr>
        <w:t>dyslipidaemia</w:t>
      </w:r>
      <w:proofErr w:type="spellEnd"/>
      <w:r w:rsidRPr="00166541">
        <w:rPr>
          <w:rFonts w:asciiTheme="majorBidi" w:eastAsia="Times New Roman" w:hAnsiTheme="majorBidi" w:cstheme="majorBidi"/>
          <w:sz w:val="24"/>
          <w:szCs w:val="24"/>
        </w:rPr>
        <w:t xml:space="preserve"> (Muhammed et al., 2019; </w:t>
      </w:r>
      <w:proofErr w:type="spellStart"/>
      <w:r w:rsidRPr="00166541">
        <w:rPr>
          <w:rFonts w:asciiTheme="majorBidi" w:eastAsia="Times New Roman" w:hAnsiTheme="majorBidi" w:cstheme="majorBidi"/>
          <w:sz w:val="24"/>
          <w:szCs w:val="24"/>
        </w:rPr>
        <w:t>Abd</w:t>
      </w:r>
      <w:proofErr w:type="spellEnd"/>
      <w:r w:rsidRPr="00166541">
        <w:rPr>
          <w:rFonts w:asciiTheme="majorBidi" w:eastAsia="Times New Roman" w:hAnsiTheme="majorBidi" w:cstheme="majorBidi"/>
          <w:sz w:val="24"/>
          <w:szCs w:val="24"/>
        </w:rPr>
        <w:t xml:space="preserve"> El-</w:t>
      </w:r>
      <w:proofErr w:type="spellStart"/>
      <w:r w:rsidRPr="00166541">
        <w:rPr>
          <w:rFonts w:asciiTheme="majorBidi" w:eastAsia="Times New Roman" w:hAnsiTheme="majorBidi" w:cstheme="majorBidi"/>
          <w:sz w:val="24"/>
          <w:szCs w:val="24"/>
        </w:rPr>
        <w:t>Gawad</w:t>
      </w:r>
      <w:proofErr w:type="spellEnd"/>
      <w:r w:rsidRPr="00166541">
        <w:rPr>
          <w:rFonts w:asciiTheme="majorBidi" w:eastAsia="Times New Roman" w:hAnsiTheme="majorBidi" w:cstheme="majorBidi"/>
          <w:sz w:val="24"/>
          <w:szCs w:val="24"/>
        </w:rPr>
        <w:t xml:space="preserve"> et al., 2022). Efficient preventive measures encompass lifestyle alterations and certain pharmacological interventions. Numerous global risk assessment tools, including SCORE, QRISK, and </w:t>
      </w:r>
      <w:proofErr w:type="spellStart"/>
      <w:r w:rsidRPr="00166541">
        <w:rPr>
          <w:rFonts w:asciiTheme="majorBidi" w:eastAsia="Times New Roman" w:hAnsiTheme="majorBidi" w:cstheme="majorBidi"/>
          <w:sz w:val="24"/>
          <w:szCs w:val="24"/>
        </w:rPr>
        <w:t>Globorisk</w:t>
      </w:r>
      <w:proofErr w:type="spellEnd"/>
      <w:r w:rsidRPr="00166541">
        <w:rPr>
          <w:rFonts w:asciiTheme="majorBidi" w:eastAsia="Times New Roman" w:hAnsiTheme="majorBidi" w:cstheme="majorBidi"/>
          <w:sz w:val="24"/>
          <w:szCs w:val="24"/>
        </w:rPr>
        <w:t xml:space="preserve">, have been created to inform prevention and treatment, particularly in heterogeneous populations and resource-limited environments (Hassan et al., 2022; </w:t>
      </w:r>
      <w:proofErr w:type="spellStart"/>
      <w:r w:rsidRPr="00166541">
        <w:rPr>
          <w:rFonts w:asciiTheme="majorBidi" w:eastAsia="Times New Roman" w:hAnsiTheme="majorBidi" w:cstheme="majorBidi"/>
          <w:sz w:val="24"/>
          <w:szCs w:val="24"/>
        </w:rPr>
        <w:t>Ghanema</w:t>
      </w:r>
      <w:proofErr w:type="spellEnd"/>
      <w:r w:rsidRPr="00166541">
        <w:rPr>
          <w:rFonts w:asciiTheme="majorBidi" w:eastAsia="Times New Roman" w:hAnsiTheme="majorBidi" w:cstheme="majorBidi"/>
          <w:sz w:val="24"/>
          <w:szCs w:val="24"/>
        </w:rPr>
        <w:t xml:space="preserve"> et al., 2024). The main aim of this study is to assess the pattern and prevalence of risk factors for </w:t>
      </w:r>
      <w:r w:rsidRPr="00166541">
        <w:rPr>
          <w:rFonts w:asciiTheme="majorBidi" w:eastAsia="Times New Roman" w:hAnsiTheme="majorBidi" w:cstheme="majorBidi"/>
          <w:sz w:val="24"/>
          <w:szCs w:val="24"/>
        </w:rPr>
        <w:lastRenderedPageBreak/>
        <w:t xml:space="preserve">atherosclerosis in Egyptian patients with atherosclerotic cardiovascular illnesses.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 xml:space="preserve">The average age of patients with coronary artery disease (CAD) was 56.06 ± 9.71 years, whereas it was 54.43 ± 9.42 years for cerebrovascular disease (CVD) and 54.94 ± 9.55 years for peripheral arterial disease (PAD), with no statistically significant difference (p = 0.092). These findings align with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who documented a mean age of 55.8 years in the </w:t>
      </w:r>
      <w:proofErr w:type="spellStart"/>
      <w:r w:rsidRPr="00166541">
        <w:rPr>
          <w:rFonts w:asciiTheme="majorBidi" w:eastAsia="Times New Roman" w:hAnsiTheme="majorBidi" w:cstheme="majorBidi"/>
          <w:sz w:val="24"/>
          <w:szCs w:val="24"/>
        </w:rPr>
        <w:t>CardioRisk</w:t>
      </w:r>
      <w:proofErr w:type="spellEnd"/>
      <w:r w:rsidRPr="00166541">
        <w:rPr>
          <w:rFonts w:asciiTheme="majorBidi" w:eastAsia="Times New Roman" w:hAnsiTheme="majorBidi" w:cstheme="majorBidi"/>
          <w:sz w:val="24"/>
          <w:szCs w:val="24"/>
        </w:rPr>
        <w:t xml:space="preserve"> project.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indicated elevated mean ages in a Middle Delta cohort (59.3 ± 10.1 years), potentially signifying regional variations in healthcare accessibility and exposure to risk factors.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In CAD patients, the</w:t>
      </w:r>
      <w:r w:rsidR="00260A5A">
        <w:rPr>
          <w:rFonts w:asciiTheme="majorBidi" w:eastAsia="Times New Roman" w:hAnsiTheme="majorBidi" w:cstheme="majorBidi"/>
          <w:sz w:val="24"/>
          <w:szCs w:val="24"/>
        </w:rPr>
        <w:t xml:space="preserve"> mean age is 56.06 ± 9.71 years.  </w:t>
      </w:r>
      <w:r w:rsidRPr="00166541">
        <w:rPr>
          <w:rFonts w:asciiTheme="majorBidi" w:eastAsia="Times New Roman" w:hAnsiTheme="majorBidi" w:cstheme="majorBidi"/>
          <w:sz w:val="24"/>
          <w:szCs w:val="24"/>
        </w:rPr>
        <w:t xml:space="preserve">This age corresponds with the findings of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and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indicating that the majority of CAD patients in Egypt are aged between 50 and 60 years.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indicated a marginally elevated mean age of 58.9 years in the Middle Delta, potentially attributable to delayed diagnosis or more advanced disease in underprivileged areas. This contrasts with the findings of El-</w:t>
      </w:r>
      <w:proofErr w:type="spellStart"/>
      <w:r w:rsidRPr="00166541">
        <w:rPr>
          <w:rFonts w:asciiTheme="majorBidi" w:eastAsia="Times New Roman" w:hAnsiTheme="majorBidi" w:cstheme="majorBidi"/>
          <w:sz w:val="24"/>
          <w:szCs w:val="24"/>
        </w:rPr>
        <w:t>Moselhy</w:t>
      </w:r>
      <w:proofErr w:type="spellEnd"/>
      <w:r w:rsidRPr="00166541">
        <w:rPr>
          <w:rFonts w:asciiTheme="majorBidi" w:eastAsia="Times New Roman" w:hAnsiTheme="majorBidi" w:cstheme="majorBidi"/>
          <w:sz w:val="24"/>
          <w:szCs w:val="24"/>
        </w:rPr>
        <w:t xml:space="preserve"> et al. (2018), who documented a markedly elevated age-related prevalence of CAD in elderly Egyptian patients. The absence of a notable difference in this study may be ascribed to the coinciding age of onset and same pathophysiological mechanisms among atherosclerotic illnesses, as </w:t>
      </w:r>
      <w:proofErr w:type="spellStart"/>
      <w:r w:rsidRPr="00166541">
        <w:rPr>
          <w:rFonts w:asciiTheme="majorBidi" w:eastAsia="Times New Roman" w:hAnsiTheme="majorBidi" w:cstheme="majorBidi"/>
          <w:sz w:val="24"/>
          <w:szCs w:val="24"/>
        </w:rPr>
        <w:t>emphasise</w:t>
      </w:r>
      <w:r w:rsidR="00260A5A">
        <w:rPr>
          <w:rFonts w:asciiTheme="majorBidi" w:eastAsia="Times New Roman" w:hAnsiTheme="majorBidi" w:cstheme="majorBidi"/>
          <w:sz w:val="24"/>
          <w:szCs w:val="24"/>
        </w:rPr>
        <w:t>d</w:t>
      </w:r>
      <w:proofErr w:type="spellEnd"/>
      <w:r w:rsidR="00260A5A">
        <w:rPr>
          <w:rFonts w:asciiTheme="majorBidi" w:eastAsia="Times New Roman" w:hAnsiTheme="majorBidi" w:cstheme="majorBidi"/>
          <w:sz w:val="24"/>
          <w:szCs w:val="24"/>
        </w:rPr>
        <w:t xml:space="preserve"> by </w:t>
      </w:r>
      <w:proofErr w:type="spellStart"/>
      <w:r w:rsidR="00260A5A">
        <w:rPr>
          <w:rFonts w:asciiTheme="majorBidi" w:eastAsia="Times New Roman" w:hAnsiTheme="majorBidi" w:cstheme="majorBidi"/>
          <w:sz w:val="24"/>
          <w:szCs w:val="24"/>
        </w:rPr>
        <w:t>Adhikary</w:t>
      </w:r>
      <w:proofErr w:type="spellEnd"/>
      <w:r w:rsidR="00260A5A">
        <w:rPr>
          <w:rFonts w:asciiTheme="majorBidi" w:eastAsia="Times New Roman" w:hAnsiTheme="majorBidi" w:cstheme="majorBidi"/>
          <w:sz w:val="24"/>
          <w:szCs w:val="24"/>
        </w:rPr>
        <w:t xml:space="preserve"> et al. (2022). </w:t>
      </w:r>
    </w:p>
    <w:p w:rsidR="002767D8" w:rsidRDefault="00166541" w:rsidP="002767D8">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In patients with cardiovascular disease, the mean age is 54</w:t>
      </w:r>
      <w:r w:rsidR="00260A5A">
        <w:rPr>
          <w:rFonts w:asciiTheme="majorBidi" w:eastAsia="Times New Roman" w:hAnsiTheme="majorBidi" w:cstheme="majorBidi"/>
          <w:sz w:val="24"/>
          <w:szCs w:val="24"/>
        </w:rPr>
        <w:t xml:space="preserve">.43 ± 9.42 years.  </w:t>
      </w:r>
      <w:r w:rsidRPr="00166541">
        <w:rPr>
          <w:rFonts w:asciiTheme="majorBidi" w:eastAsia="Times New Roman" w:hAnsiTheme="majorBidi" w:cstheme="majorBidi"/>
          <w:sz w:val="24"/>
          <w:szCs w:val="24"/>
        </w:rPr>
        <w:t xml:space="preserve">These statistics indicate the onset of cardiovascular disease in mid-life, corroborated by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who noted stroke incidents in the fifth and sixth decades of life.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documented an analogous mean age of 55.2 years. </w:t>
      </w:r>
      <w:proofErr w:type="spellStart"/>
      <w:r w:rsidRPr="00166541">
        <w:rPr>
          <w:rFonts w:asciiTheme="majorBidi" w:eastAsia="Times New Roman" w:hAnsiTheme="majorBidi" w:cstheme="majorBidi"/>
          <w:sz w:val="24"/>
          <w:szCs w:val="24"/>
        </w:rPr>
        <w:t>Khedr</w:t>
      </w:r>
      <w:proofErr w:type="spellEnd"/>
      <w:r w:rsidRPr="00166541">
        <w:rPr>
          <w:rFonts w:asciiTheme="majorBidi" w:eastAsia="Times New Roman" w:hAnsiTheme="majorBidi" w:cstheme="majorBidi"/>
          <w:sz w:val="24"/>
          <w:szCs w:val="24"/>
        </w:rPr>
        <w:t xml:space="preserve"> et al. (2021) discovered a marginally older average age (≈58 years) among southern Egyptian stroke patients, potentially attributable to demographic and diagnostic variables.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 xml:space="preserve">In patients with PAD, the mean age is 54.94 ± 9.55 years. </w:t>
      </w:r>
      <w:r w:rsidRPr="00166541">
        <w:rPr>
          <w:rFonts w:asciiTheme="majorBidi" w:eastAsia="Times New Roman" w:hAnsiTheme="majorBidi" w:cstheme="majorBidi"/>
          <w:sz w:val="24"/>
          <w:szCs w:val="24"/>
        </w:rPr>
        <w:br/>
        <w:t xml:space="preserve">Patients with PAD in this study are also within the age range of 50 to 60 years.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observed an increasing frequency of PAD in this demographic, particularly among individuals with concurrent CAD.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indicated an older group with peripheral artery disease (mean age 59.7 years), presumably attributable to delayed diagnosis in rural regions. The younger PAD cohort may indicate enhanced screening or an earlier manifestation of the illness.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Male preponderance was noted in all three groups as follows: CAD: 59.3%, CVD: 61.1%, PAD: 60.7% (Table 1</w:t>
      </w:r>
      <w:r w:rsidR="002767D8">
        <w:rPr>
          <w:rFonts w:asciiTheme="majorBidi" w:eastAsia="Times New Roman" w:hAnsiTheme="majorBidi" w:cstheme="majorBidi"/>
          <w:sz w:val="24"/>
          <w:szCs w:val="24"/>
        </w:rPr>
        <w:t xml:space="preserve">).  </w:t>
      </w:r>
      <w:r w:rsidRPr="00166541">
        <w:rPr>
          <w:rFonts w:asciiTheme="majorBidi" w:eastAsia="Times New Roman" w:hAnsiTheme="majorBidi" w:cstheme="majorBidi"/>
          <w:sz w:val="24"/>
          <w:szCs w:val="24"/>
        </w:rPr>
        <w:t xml:space="preserve">The differences were not statistically significant (p = 0.885), but they indicate a consistent pattern observed in Egyptian cardiovascular literature. </w:t>
      </w:r>
      <w:r w:rsidRPr="00166541">
        <w:rPr>
          <w:rFonts w:asciiTheme="majorBidi" w:eastAsia="Times New Roman" w:hAnsiTheme="majorBidi" w:cstheme="majorBidi"/>
          <w:sz w:val="24"/>
          <w:szCs w:val="24"/>
        </w:rPr>
        <w:br/>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noted that male representation surpassed 62% in acute coronary syndrome </w:t>
      </w:r>
      <w:proofErr w:type="spellStart"/>
      <w:r w:rsidRPr="00166541">
        <w:rPr>
          <w:rFonts w:asciiTheme="majorBidi" w:eastAsia="Times New Roman" w:hAnsiTheme="majorBidi" w:cstheme="majorBidi"/>
          <w:sz w:val="24"/>
          <w:szCs w:val="24"/>
        </w:rPr>
        <w:t>hospitalisations</w:t>
      </w:r>
      <w:proofErr w:type="spellEnd"/>
      <w:r w:rsidRPr="00166541">
        <w:rPr>
          <w:rFonts w:asciiTheme="majorBidi" w:eastAsia="Times New Roman" w:hAnsiTheme="majorBidi" w:cstheme="majorBidi"/>
          <w:sz w:val="24"/>
          <w:szCs w:val="24"/>
        </w:rPr>
        <w:t xml:space="preserve">, whereas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highlighted male gender as a significant risk factor in phase II of the </w:t>
      </w:r>
      <w:proofErr w:type="spellStart"/>
      <w:r w:rsidRPr="00166541">
        <w:rPr>
          <w:rFonts w:asciiTheme="majorBidi" w:eastAsia="Times New Roman" w:hAnsiTheme="majorBidi" w:cstheme="majorBidi"/>
          <w:sz w:val="24"/>
          <w:szCs w:val="24"/>
        </w:rPr>
        <w:t>CardioRisk</w:t>
      </w:r>
      <w:proofErr w:type="spellEnd"/>
      <w:r w:rsidRPr="00166541">
        <w:rPr>
          <w:rFonts w:asciiTheme="majorBidi" w:eastAsia="Times New Roman" w:hAnsiTheme="majorBidi" w:cstheme="majorBidi"/>
          <w:sz w:val="24"/>
          <w:szCs w:val="24"/>
        </w:rPr>
        <w:t xml:space="preserve"> trial. This trend is frequently ascribed to heightened exposure among men to modifiable risk factors such as smoking, occupational stress, and insufficient participation in preventive healthcare (Kamal et al., 2018). However, El Sayed et al. (2024) indicated that women—particularly those who are diabetic and postmenopausal—may encounter similar risks, implying that comorbidities and hormonal alterations can diminish the </w:t>
      </w:r>
      <w:r w:rsidR="002767D8">
        <w:rPr>
          <w:rFonts w:asciiTheme="majorBidi" w:eastAsia="Times New Roman" w:hAnsiTheme="majorBidi" w:cstheme="majorBidi"/>
          <w:sz w:val="24"/>
          <w:szCs w:val="24"/>
        </w:rPr>
        <w:t xml:space="preserve">conventional gender disparity. </w:t>
      </w:r>
    </w:p>
    <w:p w:rsidR="002767D8" w:rsidRDefault="00166541" w:rsidP="002767D8">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lastRenderedPageBreak/>
        <w:t>El Sayed et al. (2024) highlighted that disparities in cardiovascular problems related to sex and gender are diminishing, attributed to the rising frequency of risk factors among females, particu</w:t>
      </w:r>
      <w:r w:rsidR="002767D8">
        <w:rPr>
          <w:rFonts w:asciiTheme="majorBidi" w:eastAsia="Times New Roman" w:hAnsiTheme="majorBidi" w:cstheme="majorBidi"/>
          <w:sz w:val="24"/>
          <w:szCs w:val="24"/>
        </w:rPr>
        <w:t xml:space="preserve">larly within diabetes cohorts. </w:t>
      </w:r>
    </w:p>
    <w:p w:rsidR="002767D8" w:rsidRDefault="00166541" w:rsidP="002767D8">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Coronary Artery Disease (CAD): males represented 59.3%, consistent with the findings of Kamal et al. (2018) and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who ascribed the male predominance in CAD to increased exposure to risk factors. However, El Sayed et al. (2024) discovered that diabetic postmenopausal women exhibit a comparable CAD risk, underscoring the shifting gender dynamics in</w:t>
      </w:r>
      <w:r w:rsidR="002767D8">
        <w:rPr>
          <w:rFonts w:asciiTheme="majorBidi" w:eastAsia="Times New Roman" w:hAnsiTheme="majorBidi" w:cstheme="majorBidi"/>
          <w:sz w:val="24"/>
          <w:szCs w:val="24"/>
        </w:rPr>
        <w:t xml:space="preserve"> the context of comorbidities. </w:t>
      </w:r>
    </w:p>
    <w:p w:rsidR="002767D8" w:rsidRDefault="00166541" w:rsidP="002767D8">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Cerebrovascular Disease (CVD) exhibits a male predominance of 61.1%, consistent with the findings of Kamal et al. (2018),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and </w:t>
      </w:r>
      <w:proofErr w:type="spellStart"/>
      <w:r w:rsidRPr="00166541">
        <w:rPr>
          <w:rFonts w:asciiTheme="majorBidi" w:eastAsia="Times New Roman" w:hAnsiTheme="majorBidi" w:cstheme="majorBidi"/>
          <w:sz w:val="24"/>
          <w:szCs w:val="24"/>
        </w:rPr>
        <w:t>Elhfnawy</w:t>
      </w:r>
      <w:proofErr w:type="spellEnd"/>
      <w:r w:rsidRPr="00166541">
        <w:rPr>
          <w:rFonts w:asciiTheme="majorBidi" w:eastAsia="Times New Roman" w:hAnsiTheme="majorBidi" w:cstheme="majorBidi"/>
          <w:sz w:val="24"/>
          <w:szCs w:val="24"/>
        </w:rPr>
        <w:t xml:space="preserve"> et al. (2023), which documented analog</w:t>
      </w:r>
      <w:r w:rsidR="002767D8">
        <w:rPr>
          <w:rFonts w:asciiTheme="majorBidi" w:eastAsia="Times New Roman" w:hAnsiTheme="majorBidi" w:cstheme="majorBidi"/>
          <w:sz w:val="24"/>
          <w:szCs w:val="24"/>
        </w:rPr>
        <w:t xml:space="preserve">ous trends in CVD populations.  </w:t>
      </w:r>
      <w:r w:rsidRPr="00166541">
        <w:rPr>
          <w:rFonts w:asciiTheme="majorBidi" w:eastAsia="Times New Roman" w:hAnsiTheme="majorBidi" w:cstheme="majorBidi"/>
          <w:sz w:val="24"/>
          <w:szCs w:val="24"/>
        </w:rPr>
        <w:t xml:space="preserve">The gap is largely attributable to elevated smoking rates, occupational stress, and insufficient </w:t>
      </w:r>
      <w:proofErr w:type="spellStart"/>
      <w:r w:rsidRPr="00166541">
        <w:rPr>
          <w:rFonts w:asciiTheme="majorBidi" w:eastAsia="Times New Roman" w:hAnsiTheme="majorBidi" w:cstheme="majorBidi"/>
          <w:sz w:val="24"/>
          <w:szCs w:val="24"/>
        </w:rPr>
        <w:t>utilisation</w:t>
      </w:r>
      <w:proofErr w:type="spellEnd"/>
      <w:r w:rsidRPr="00166541">
        <w:rPr>
          <w:rFonts w:asciiTheme="majorBidi" w:eastAsia="Times New Roman" w:hAnsiTheme="majorBidi" w:cstheme="majorBidi"/>
          <w:sz w:val="24"/>
          <w:szCs w:val="24"/>
        </w:rPr>
        <w:t xml:space="preserve"> of preventive treatment among males. Nevertheless, El Sayed et al. (2024) highlighted that postmenopausal diabetic women are more impacted, especially r</w:t>
      </w:r>
      <w:r w:rsidR="002767D8">
        <w:rPr>
          <w:rFonts w:asciiTheme="majorBidi" w:eastAsia="Times New Roman" w:hAnsiTheme="majorBidi" w:cstheme="majorBidi"/>
          <w:sz w:val="24"/>
          <w:szCs w:val="24"/>
        </w:rPr>
        <w:t xml:space="preserve">egarding metabolic management. </w:t>
      </w:r>
    </w:p>
    <w:p w:rsidR="00E167A2" w:rsidRDefault="00166541" w:rsidP="00E167A2">
      <w:pPr>
        <w:spacing w:before="240" w:after="0" w:line="240" w:lineRule="auto"/>
        <w:jc w:val="lowKashida"/>
        <w:rPr>
          <w:rFonts w:asciiTheme="majorBidi" w:eastAsia="Times New Roman" w:hAnsiTheme="majorBidi" w:cstheme="majorBidi"/>
          <w:sz w:val="24"/>
          <w:szCs w:val="24"/>
          <w:rtl/>
        </w:rPr>
      </w:pPr>
      <w:r w:rsidRPr="00166541">
        <w:rPr>
          <w:rFonts w:asciiTheme="majorBidi" w:eastAsia="Times New Roman" w:hAnsiTheme="majorBidi" w:cstheme="majorBidi"/>
          <w:sz w:val="24"/>
          <w:szCs w:val="24"/>
        </w:rPr>
        <w:t xml:space="preserve">Peripheral Artery Disease (PAD) exhibits a male preponderance of 60.7%. This male predominance is attributed to lifestyle variables, as seen by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and Kamal et al. (2018), in contrast to the findings of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and El. </w:t>
      </w:r>
      <w:r w:rsidRPr="00166541">
        <w:rPr>
          <w:rFonts w:asciiTheme="majorBidi" w:eastAsia="Times New Roman" w:hAnsiTheme="majorBidi" w:cstheme="majorBidi"/>
          <w:sz w:val="24"/>
          <w:szCs w:val="24"/>
        </w:rPr>
        <w:br/>
        <w:t>Sayed et al. (2024) revealed that the risk of PAD in females escalates with age and the presence of concomitant diseases, particula</w:t>
      </w:r>
      <w:r w:rsidR="00E167A2">
        <w:rPr>
          <w:rFonts w:asciiTheme="majorBidi" w:eastAsia="Times New Roman" w:hAnsiTheme="majorBidi" w:cstheme="majorBidi"/>
          <w:sz w:val="24"/>
          <w:szCs w:val="24"/>
        </w:rPr>
        <w:t xml:space="preserve">rly diabetes and hypertension. </w:t>
      </w:r>
      <w:r w:rsidR="00E167A2">
        <w:rPr>
          <w:rFonts w:asciiTheme="majorBidi" w:eastAsia="Times New Roman" w:hAnsiTheme="majorBidi" w:cstheme="majorBidi" w:hint="cs"/>
          <w:sz w:val="24"/>
          <w:szCs w:val="24"/>
          <w:rtl/>
        </w:rPr>
        <w:t xml:space="preserve"> </w:t>
      </w:r>
      <w:r w:rsidRPr="00166541">
        <w:rPr>
          <w:rFonts w:asciiTheme="majorBidi" w:eastAsia="Times New Roman" w:hAnsiTheme="majorBidi" w:cstheme="majorBidi"/>
          <w:sz w:val="24"/>
          <w:szCs w:val="24"/>
        </w:rPr>
        <w:t xml:space="preserve">All comparisons revealed no statistically significant changes, affirming the persistent male preponderance throughout vascular diseases. The findings correspond with national trends outlined by Kamal et al. (2018) and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however, recent studies—particularly El Sayed et al. (2024)—underscore the necessity of monitoring increasing vascular risk in diabetic and postmenopausal women, indicating a potential convergence of the historical gender gap within these populations. </w:t>
      </w:r>
      <w:r w:rsidRPr="00166541">
        <w:rPr>
          <w:rFonts w:asciiTheme="majorBidi" w:eastAsia="Times New Roman" w:hAnsiTheme="majorBidi" w:cstheme="majorBidi"/>
          <w:sz w:val="24"/>
          <w:szCs w:val="24"/>
        </w:rPr>
        <w:br/>
        <w:t xml:space="preserve">Nevertheless, research conducted by M El Sayed et al. (2024) identified an escalating prevalence of PAD among Egyptian women attributed to heightened rates of diabetes and smoking. </w:t>
      </w:r>
    </w:p>
    <w:p w:rsidR="00E167A2" w:rsidRDefault="00166541" w:rsidP="00E167A2">
      <w:pPr>
        <w:spacing w:before="240" w:after="0" w:line="240" w:lineRule="auto"/>
        <w:jc w:val="lowKashida"/>
        <w:rPr>
          <w:rFonts w:asciiTheme="majorBidi" w:eastAsia="Times New Roman" w:hAnsiTheme="majorBidi" w:cstheme="majorBidi"/>
          <w:sz w:val="24"/>
          <w:szCs w:val="24"/>
          <w:rtl/>
        </w:rPr>
      </w:pPr>
      <w:r w:rsidRPr="00166541">
        <w:rPr>
          <w:rFonts w:asciiTheme="majorBidi" w:eastAsia="Times New Roman" w:hAnsiTheme="majorBidi" w:cstheme="majorBidi"/>
          <w:sz w:val="24"/>
          <w:szCs w:val="24"/>
        </w:rPr>
        <w:t>The identified gender disparity in this cohort may indicate variations in traditional risk exposure, especially for occupational activities and the postpon</w:t>
      </w:r>
      <w:r w:rsidR="00E167A2">
        <w:rPr>
          <w:rFonts w:asciiTheme="majorBidi" w:eastAsia="Times New Roman" w:hAnsiTheme="majorBidi" w:cstheme="majorBidi"/>
          <w:sz w:val="24"/>
          <w:szCs w:val="24"/>
        </w:rPr>
        <w:t xml:space="preserve">ement of diagnosis in females. </w:t>
      </w:r>
    </w:p>
    <w:p w:rsidR="00E167A2" w:rsidRDefault="00166541" w:rsidP="00E167A2">
      <w:pPr>
        <w:spacing w:before="240" w:after="0" w:line="240" w:lineRule="auto"/>
        <w:jc w:val="lowKashida"/>
        <w:rPr>
          <w:rFonts w:asciiTheme="majorBidi" w:eastAsia="Times New Roman" w:hAnsiTheme="majorBidi" w:cstheme="majorBidi"/>
          <w:sz w:val="24"/>
          <w:szCs w:val="24"/>
          <w:rtl/>
        </w:rPr>
      </w:pPr>
      <w:r w:rsidRPr="00166541">
        <w:rPr>
          <w:rFonts w:asciiTheme="majorBidi" w:eastAsia="Times New Roman" w:hAnsiTheme="majorBidi" w:cstheme="majorBidi"/>
          <w:sz w:val="24"/>
          <w:szCs w:val="24"/>
        </w:rPr>
        <w:t>In terms of residence, urban residency was more prevalent among: CVD patients at 56.1%, CAD patients at 49.</w:t>
      </w:r>
      <w:r w:rsidR="00E167A2">
        <w:rPr>
          <w:rFonts w:asciiTheme="majorBidi" w:eastAsia="Times New Roman" w:hAnsiTheme="majorBidi" w:cstheme="majorBidi"/>
          <w:sz w:val="24"/>
          <w:szCs w:val="24"/>
        </w:rPr>
        <w:t xml:space="preserve">2%, and PAD patients at 47.4%. </w:t>
      </w:r>
      <w:r w:rsidRPr="00166541">
        <w:rPr>
          <w:rFonts w:asciiTheme="majorBidi" w:eastAsia="Times New Roman" w:hAnsiTheme="majorBidi" w:cstheme="majorBidi"/>
          <w:sz w:val="24"/>
          <w:szCs w:val="24"/>
        </w:rPr>
        <w:t xml:space="preserve">Despite lacking overall statistical significance (p = 0.063), this trend indicates changing patterns of atherosclerotic disease distribution in Egypt. The research revealed no substantial disparity in disease prevalence between urban and rural populations (p = 0.063). Despite metropolitan areas exhibiting marginally elevated percentages within the CVD category, this difference lacked statistical significance. In contrast,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identified a correlation between urban residency and elevated cardiovascular risk in Egypt, presumably attributable to sedentary lifestyles and eating habits. The present data may indicate a diminishing disparity between urban and rural lifestyles and healthcare availability, as s</w:t>
      </w:r>
      <w:r w:rsidR="00E167A2">
        <w:rPr>
          <w:rFonts w:asciiTheme="majorBidi" w:eastAsia="Times New Roman" w:hAnsiTheme="majorBidi" w:cstheme="majorBidi"/>
          <w:sz w:val="24"/>
          <w:szCs w:val="24"/>
        </w:rPr>
        <w:t xml:space="preserve">hown by Francis et al. (2024). </w:t>
      </w:r>
    </w:p>
    <w:p w:rsidR="00E167A2" w:rsidRDefault="00166541" w:rsidP="00E167A2">
      <w:pPr>
        <w:spacing w:before="240" w:after="0" w:line="240" w:lineRule="auto"/>
        <w:jc w:val="lowKashida"/>
        <w:rPr>
          <w:rFonts w:asciiTheme="majorBidi" w:eastAsia="Times New Roman" w:hAnsiTheme="majorBidi" w:cstheme="majorBidi"/>
          <w:sz w:val="24"/>
          <w:szCs w:val="24"/>
          <w:rtl/>
        </w:rPr>
      </w:pPr>
      <w:r w:rsidRPr="00166541">
        <w:rPr>
          <w:rFonts w:asciiTheme="majorBidi" w:eastAsia="Times New Roman" w:hAnsiTheme="majorBidi" w:cstheme="majorBidi"/>
          <w:sz w:val="24"/>
          <w:szCs w:val="24"/>
        </w:rPr>
        <w:t xml:space="preserve">This contrasts with Hussein et al. (2020), who indicated elevated cardiovascular risk in urban settings due to lifestyle and dietary practices; conversely,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identified </w:t>
      </w:r>
      <w:r w:rsidRPr="00166541">
        <w:rPr>
          <w:rFonts w:asciiTheme="majorBidi" w:eastAsia="Times New Roman" w:hAnsiTheme="majorBidi" w:cstheme="majorBidi"/>
          <w:sz w:val="24"/>
          <w:szCs w:val="24"/>
        </w:rPr>
        <w:lastRenderedPageBreak/>
        <w:t>increased CAD incidence in rural Middle Delta regions, ascribed to inadequate healthcare access and delayed diagnosis</w:t>
      </w:r>
      <w:r w:rsidR="00E167A2">
        <w:rPr>
          <w:rFonts w:asciiTheme="majorBidi" w:eastAsia="Times New Roman" w:hAnsiTheme="majorBidi" w:cstheme="majorBidi"/>
          <w:sz w:val="24"/>
          <w:szCs w:val="24"/>
        </w:rPr>
        <w:t xml:space="preserve">. </w:t>
      </w:r>
    </w:p>
    <w:p w:rsidR="00F95DE6" w:rsidRDefault="00166541" w:rsidP="00F95DE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The almost identical urban-rural distribution in Table 7 may indicate a nationwide trend towards uniform risk, possibly attributable to the proliferation of sedentary lifestyles and high-calorie diets across both urban and rural populations.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Concerning smo</w:t>
      </w:r>
      <w:r w:rsidR="00F95DE6">
        <w:rPr>
          <w:rFonts w:asciiTheme="majorBidi" w:eastAsia="Times New Roman" w:hAnsiTheme="majorBidi" w:cstheme="majorBidi"/>
          <w:sz w:val="24"/>
          <w:szCs w:val="24"/>
        </w:rPr>
        <w:t xml:space="preserve">king, it was documented among: Patients with PAD: 31.7%, </w:t>
      </w:r>
      <w:r w:rsidRPr="00166541">
        <w:rPr>
          <w:rFonts w:asciiTheme="majorBidi" w:eastAsia="Times New Roman" w:hAnsiTheme="majorBidi" w:cstheme="majorBidi"/>
          <w:sz w:val="24"/>
          <w:szCs w:val="24"/>
        </w:rPr>
        <w:t>Patients with</w:t>
      </w:r>
      <w:r w:rsidR="00F95DE6">
        <w:rPr>
          <w:rFonts w:asciiTheme="majorBidi" w:eastAsia="Times New Roman" w:hAnsiTheme="majorBidi" w:cstheme="majorBidi"/>
          <w:sz w:val="24"/>
          <w:szCs w:val="24"/>
        </w:rPr>
        <w:t xml:space="preserve"> cardiovascular disease: 30.2%, Patients with CAD: 27.1%. </w:t>
      </w:r>
      <w:r w:rsidRPr="00166541">
        <w:rPr>
          <w:rFonts w:asciiTheme="majorBidi" w:eastAsia="Times New Roman" w:hAnsiTheme="majorBidi" w:cstheme="majorBidi"/>
          <w:sz w:val="24"/>
          <w:szCs w:val="24"/>
        </w:rPr>
        <w:t xml:space="preserve">The difference was not statistically significant (p = 0.417), indicating that smoking continues to be a prevalent modifiable risk factor across all types of atherosclerotic diseases. This contradicts research by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and </w:t>
      </w:r>
      <w:proofErr w:type="spellStart"/>
      <w:r w:rsidRPr="00166541">
        <w:rPr>
          <w:rFonts w:asciiTheme="majorBidi" w:eastAsia="Times New Roman" w:hAnsiTheme="majorBidi" w:cstheme="majorBidi"/>
          <w:sz w:val="24"/>
          <w:szCs w:val="24"/>
        </w:rPr>
        <w:t>Elhfnawy</w:t>
      </w:r>
      <w:proofErr w:type="spellEnd"/>
      <w:r w:rsidRPr="00166541">
        <w:rPr>
          <w:rFonts w:asciiTheme="majorBidi" w:eastAsia="Times New Roman" w:hAnsiTheme="majorBidi" w:cstheme="majorBidi"/>
          <w:sz w:val="24"/>
          <w:szCs w:val="24"/>
        </w:rPr>
        <w:t xml:space="preserve"> et al. (2023), which identified smoking as a major predictor of CAD and stroke. The insignificance in this dataset may arise from underreporting or regional discrepancies in smoking </w:t>
      </w:r>
      <w:proofErr w:type="spellStart"/>
      <w:r w:rsidRPr="00166541">
        <w:rPr>
          <w:rFonts w:asciiTheme="majorBidi" w:eastAsia="Times New Roman" w:hAnsiTheme="majorBidi" w:cstheme="majorBidi"/>
          <w:sz w:val="24"/>
          <w:szCs w:val="24"/>
        </w:rPr>
        <w:t>behaviours</w:t>
      </w:r>
      <w:proofErr w:type="spellEnd"/>
      <w:r w:rsidRPr="00166541">
        <w:rPr>
          <w:rFonts w:asciiTheme="majorBidi" w:eastAsia="Times New Roman" w:hAnsiTheme="majorBidi" w:cstheme="majorBidi"/>
          <w:sz w:val="24"/>
          <w:szCs w:val="24"/>
        </w:rPr>
        <w:t xml:space="preserve">, despite the </w:t>
      </w:r>
      <w:proofErr w:type="spellStart"/>
      <w:r w:rsidRPr="00166541">
        <w:rPr>
          <w:rFonts w:asciiTheme="majorBidi" w:eastAsia="Times New Roman" w:hAnsiTheme="majorBidi" w:cstheme="majorBidi"/>
          <w:sz w:val="24"/>
          <w:szCs w:val="24"/>
        </w:rPr>
        <w:t>recognised</w:t>
      </w:r>
      <w:proofErr w:type="spellEnd"/>
      <w:r w:rsidRPr="00166541">
        <w:rPr>
          <w:rFonts w:asciiTheme="majorBidi" w:eastAsia="Times New Roman" w:hAnsiTheme="majorBidi" w:cstheme="majorBidi"/>
          <w:sz w:val="24"/>
          <w:szCs w:val="24"/>
        </w:rPr>
        <w:t xml:space="preserve"> correlation between smoking and vascular disease.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 xml:space="preserve">Conversely,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discovered that in young CAD patients, familial </w:t>
      </w:r>
      <w:proofErr w:type="spellStart"/>
      <w:r w:rsidRPr="00166541">
        <w:rPr>
          <w:rFonts w:asciiTheme="majorBidi" w:eastAsia="Times New Roman" w:hAnsiTheme="majorBidi" w:cstheme="majorBidi"/>
          <w:sz w:val="24"/>
          <w:szCs w:val="24"/>
        </w:rPr>
        <w:t>hypercholesterolaemia</w:t>
      </w:r>
      <w:proofErr w:type="spellEnd"/>
      <w:r w:rsidRPr="00166541">
        <w:rPr>
          <w:rFonts w:asciiTheme="majorBidi" w:eastAsia="Times New Roman" w:hAnsiTheme="majorBidi" w:cstheme="majorBidi"/>
          <w:sz w:val="24"/>
          <w:szCs w:val="24"/>
        </w:rPr>
        <w:t xml:space="preserve"> surpassed smoking as the primary risk factor, indicating that genetic and lifestyle risk factors may interact variably across different age cohorts. </w:t>
      </w:r>
      <w:r w:rsidRPr="00166541">
        <w:rPr>
          <w:rFonts w:asciiTheme="majorBidi" w:eastAsia="Times New Roman" w:hAnsiTheme="majorBidi" w:cstheme="majorBidi"/>
          <w:sz w:val="24"/>
          <w:szCs w:val="24"/>
        </w:rPr>
        <w:br/>
        <w:t>Hussein et al. (2020) documented elevated smoking rates among rural diabetics, further suggesting that comorbidities and geographic locat</w:t>
      </w:r>
      <w:r w:rsidR="00F95DE6">
        <w:rPr>
          <w:rFonts w:asciiTheme="majorBidi" w:eastAsia="Times New Roman" w:hAnsiTheme="majorBidi" w:cstheme="majorBidi"/>
          <w:sz w:val="24"/>
          <w:szCs w:val="24"/>
        </w:rPr>
        <w:t xml:space="preserve">ion affect smoking </w:t>
      </w:r>
      <w:proofErr w:type="spellStart"/>
      <w:r w:rsidR="00F95DE6">
        <w:rPr>
          <w:rFonts w:asciiTheme="majorBidi" w:eastAsia="Times New Roman" w:hAnsiTheme="majorBidi" w:cstheme="majorBidi"/>
          <w:sz w:val="24"/>
          <w:szCs w:val="24"/>
        </w:rPr>
        <w:t>behaviours</w:t>
      </w:r>
      <w:proofErr w:type="spellEnd"/>
      <w:r w:rsidR="00F95DE6">
        <w:rPr>
          <w:rFonts w:asciiTheme="majorBidi" w:eastAsia="Times New Roman" w:hAnsiTheme="majorBidi" w:cstheme="majorBidi"/>
          <w:sz w:val="24"/>
          <w:szCs w:val="24"/>
        </w:rPr>
        <w:t xml:space="preserve">. </w:t>
      </w:r>
    </w:p>
    <w:p w:rsidR="003E5BAD" w:rsidRDefault="00166541" w:rsidP="003E5BAD">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Concerning </w:t>
      </w:r>
      <w:r w:rsidR="00F95DE6">
        <w:rPr>
          <w:rFonts w:asciiTheme="majorBidi" w:eastAsia="Times New Roman" w:hAnsiTheme="majorBidi" w:cstheme="majorBidi"/>
          <w:sz w:val="24"/>
          <w:szCs w:val="24"/>
        </w:rPr>
        <w:t xml:space="preserve">anthropometric </w:t>
      </w:r>
      <w:proofErr w:type="gramStart"/>
      <w:r w:rsidR="00F95DE6">
        <w:rPr>
          <w:rFonts w:asciiTheme="majorBidi" w:eastAsia="Times New Roman" w:hAnsiTheme="majorBidi" w:cstheme="majorBidi"/>
          <w:sz w:val="24"/>
          <w:szCs w:val="24"/>
        </w:rPr>
        <w:t xml:space="preserve">characteristics  </w:t>
      </w:r>
      <w:r w:rsidRPr="00166541">
        <w:rPr>
          <w:rFonts w:asciiTheme="majorBidi" w:eastAsia="Times New Roman" w:hAnsiTheme="majorBidi" w:cstheme="majorBidi"/>
          <w:sz w:val="24"/>
          <w:szCs w:val="24"/>
        </w:rPr>
        <w:t>Patients</w:t>
      </w:r>
      <w:proofErr w:type="gramEnd"/>
      <w:r w:rsidRPr="00166541">
        <w:rPr>
          <w:rFonts w:asciiTheme="majorBidi" w:eastAsia="Times New Roman" w:hAnsiTheme="majorBidi" w:cstheme="majorBidi"/>
          <w:sz w:val="24"/>
          <w:szCs w:val="24"/>
        </w:rPr>
        <w:t xml:space="preserve"> across all groups—coronary artery disease (CAD), cerebrovascular disease (CVD), and peripheral arterial disease (PAD)—demonstrated comparable anthropometric profiles, with no statistically significant variations in weight, height, BMI</w:t>
      </w:r>
      <w:r w:rsidR="00F95DE6">
        <w:rPr>
          <w:rFonts w:asciiTheme="majorBidi" w:eastAsia="Times New Roman" w:hAnsiTheme="majorBidi" w:cstheme="majorBidi"/>
          <w:sz w:val="24"/>
          <w:szCs w:val="24"/>
        </w:rPr>
        <w:t xml:space="preserve">, or waist circumference (WC).  </w:t>
      </w:r>
      <w:r w:rsidRPr="00166541">
        <w:rPr>
          <w:rFonts w:asciiTheme="majorBidi" w:eastAsia="Times New Roman" w:hAnsiTheme="majorBidi" w:cstheme="majorBidi"/>
          <w:sz w:val="24"/>
          <w:szCs w:val="24"/>
        </w:rPr>
        <w:t xml:space="preserve">The average weight exhibited minimal variation: 77.92 kg in CAD, 78.22 kg in CVD, and 78.97 kg in PAD (p = 0.370). The median results were consistent (77–79 kg, IQR: 70–86), closely aligning with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who documented a mean weight of approximately 78.3 kg in Egyptian patients with acute coronary syndrome. This finding contrasts with the conclusions of </w:t>
      </w:r>
      <w:proofErr w:type="spellStart"/>
      <w:r w:rsidRPr="00166541">
        <w:rPr>
          <w:rFonts w:asciiTheme="majorBidi" w:eastAsia="Times New Roman" w:hAnsiTheme="majorBidi" w:cstheme="majorBidi"/>
          <w:sz w:val="24"/>
          <w:szCs w:val="24"/>
        </w:rPr>
        <w:t>Abd</w:t>
      </w:r>
      <w:proofErr w:type="spellEnd"/>
      <w:r w:rsidRPr="00166541">
        <w:rPr>
          <w:rFonts w:asciiTheme="majorBidi" w:eastAsia="Times New Roman" w:hAnsiTheme="majorBidi" w:cstheme="majorBidi"/>
          <w:sz w:val="24"/>
          <w:szCs w:val="24"/>
        </w:rPr>
        <w:t xml:space="preserve"> El-</w:t>
      </w:r>
      <w:proofErr w:type="spellStart"/>
      <w:r w:rsidRPr="00166541">
        <w:rPr>
          <w:rFonts w:asciiTheme="majorBidi" w:eastAsia="Times New Roman" w:hAnsiTheme="majorBidi" w:cstheme="majorBidi"/>
          <w:sz w:val="24"/>
          <w:szCs w:val="24"/>
        </w:rPr>
        <w:t>Gawad</w:t>
      </w:r>
      <w:proofErr w:type="spellEnd"/>
      <w:r w:rsidRPr="00166541">
        <w:rPr>
          <w:rFonts w:asciiTheme="majorBidi" w:eastAsia="Times New Roman" w:hAnsiTheme="majorBidi" w:cstheme="majorBidi"/>
          <w:sz w:val="24"/>
          <w:szCs w:val="24"/>
        </w:rPr>
        <w:t xml:space="preserve"> et al. (2022) and Hussein et al. (2020), who identified obesity as a significant predictor of CAD and PAD in Egypt. </w:t>
      </w:r>
      <w:proofErr w:type="gramStart"/>
      <w:r w:rsidRPr="00166541">
        <w:rPr>
          <w:rFonts w:asciiTheme="majorBidi" w:eastAsia="Times New Roman" w:hAnsiTheme="majorBidi" w:cstheme="majorBidi"/>
          <w:sz w:val="24"/>
          <w:szCs w:val="24"/>
        </w:rPr>
        <w:t>An</w:t>
      </w:r>
      <w:proofErr w:type="gramEnd"/>
      <w:r w:rsidRPr="00166541">
        <w:rPr>
          <w:rFonts w:asciiTheme="majorBidi" w:eastAsia="Times New Roman" w:hAnsiTheme="majorBidi" w:cstheme="majorBidi"/>
          <w:sz w:val="24"/>
          <w:szCs w:val="24"/>
        </w:rPr>
        <w:t xml:space="preserve"> rationale could be that weight alone may inadequately represent risk without accounting for fat distribution or metabolic condition. </w:t>
      </w:r>
      <w:r w:rsidRPr="00166541">
        <w:rPr>
          <w:rFonts w:asciiTheme="majorBidi" w:eastAsia="Times New Roman" w:hAnsiTheme="majorBidi" w:cstheme="majorBidi"/>
          <w:sz w:val="24"/>
          <w:szCs w:val="24"/>
        </w:rPr>
        <w:br/>
      </w:r>
      <w:r w:rsidRPr="00166541">
        <w:rPr>
          <w:rFonts w:asciiTheme="majorBidi" w:eastAsia="Times New Roman" w:hAnsiTheme="majorBidi" w:cstheme="majorBidi"/>
          <w:sz w:val="24"/>
          <w:szCs w:val="24"/>
        </w:rPr>
        <w:br/>
        <w:t xml:space="preserve">The BMI values among the three groups demonstrated a uniform tendency of overweight status: 27.85 in CAD, 27.72 in CVD, and 28.14 kg/m² in PAD (p = 0.390). These results correspond with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who reported average BMIs of 28.3 ± 5.1 among Egyptian vascular patients.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and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reported analogous trends. Conversely, elevated BMI levels (&gt;30 kg/m²) were noted in diabetic vascular populations, as indicated by </w:t>
      </w:r>
      <w:proofErr w:type="spellStart"/>
      <w:r w:rsidRPr="00166541">
        <w:rPr>
          <w:rFonts w:asciiTheme="majorBidi" w:eastAsia="Times New Roman" w:hAnsiTheme="majorBidi" w:cstheme="majorBidi"/>
          <w:sz w:val="24"/>
          <w:szCs w:val="24"/>
        </w:rPr>
        <w:t>Laimoud</w:t>
      </w:r>
      <w:proofErr w:type="spellEnd"/>
      <w:r w:rsidRPr="00166541">
        <w:rPr>
          <w:rFonts w:asciiTheme="majorBidi" w:eastAsia="Times New Roman" w:hAnsiTheme="majorBidi" w:cstheme="majorBidi"/>
          <w:sz w:val="24"/>
          <w:szCs w:val="24"/>
        </w:rPr>
        <w:t xml:space="preserve"> et al. (2018) and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implying that concomitant diabetes may exacerbate obesity in particular subgroups. This contradicts with the findings of </w:t>
      </w:r>
      <w:proofErr w:type="spellStart"/>
      <w:r w:rsidRPr="00166541">
        <w:rPr>
          <w:rFonts w:asciiTheme="majorBidi" w:eastAsia="Times New Roman" w:hAnsiTheme="majorBidi" w:cstheme="majorBidi"/>
          <w:sz w:val="24"/>
          <w:szCs w:val="24"/>
        </w:rPr>
        <w:t>Azab</w:t>
      </w:r>
      <w:proofErr w:type="spellEnd"/>
      <w:r w:rsidRPr="00166541">
        <w:rPr>
          <w:rFonts w:asciiTheme="majorBidi" w:eastAsia="Times New Roman" w:hAnsiTheme="majorBidi" w:cstheme="majorBidi"/>
          <w:sz w:val="24"/>
          <w:szCs w:val="24"/>
        </w:rPr>
        <w:t xml:space="preserve"> et al. (2018), which indicated that BMI significantly affected CAD risk in obese compared to non-obese persons. The comparable BMI across groups indicates that being overweight is a prevalent background risk factor, irrespective of </w:t>
      </w:r>
      <w:r w:rsidR="003E5BAD">
        <w:rPr>
          <w:rFonts w:asciiTheme="majorBidi" w:eastAsia="Times New Roman" w:hAnsiTheme="majorBidi" w:cstheme="majorBidi"/>
          <w:sz w:val="24"/>
          <w:szCs w:val="24"/>
        </w:rPr>
        <w:t xml:space="preserve">the kind of vascular disease. </w:t>
      </w:r>
    </w:p>
    <w:p w:rsidR="003E5BAD" w:rsidRDefault="00166541" w:rsidP="003E5BAD">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Waist circumference (WC) was increased in all patients, signifying pervasive central obesity. The mean waist circumference values varied from 101.17 cm in cardiovascular disease to 102.16 cm in coronary artery disease, with no statistically significant variations between genders or groups (p </w:t>
      </w:r>
      <w:r w:rsidRPr="00166541">
        <w:rPr>
          <w:rFonts w:asciiTheme="majorBidi" w:eastAsia="Times New Roman" w:hAnsiTheme="majorBidi" w:cstheme="majorBidi"/>
          <w:sz w:val="24"/>
          <w:szCs w:val="24"/>
        </w:rPr>
        <w:lastRenderedPageBreak/>
        <w:t xml:space="preserve">&gt; 0.1). These measurements surpass the 102 cm level deemed a risk indicator for metabolic syndrome and cardiovascular incidents. This corresponds with the findings of Ibrahim et al. (2022), who determined that a waist circumference over 102 cm is a significant predictor of early coronary artery disease and peripheral artery disease in Egyptians.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correlated increasing waist circumference with genetic variants related to heightened coronary and cerebrovascular risk. This contradicts research by El </w:t>
      </w:r>
      <w:proofErr w:type="spellStart"/>
      <w:r w:rsidRPr="00166541">
        <w:rPr>
          <w:rFonts w:asciiTheme="majorBidi" w:eastAsia="Times New Roman" w:hAnsiTheme="majorBidi" w:cstheme="majorBidi"/>
          <w:sz w:val="24"/>
          <w:szCs w:val="24"/>
        </w:rPr>
        <w:t>Faramawy</w:t>
      </w:r>
      <w:proofErr w:type="spellEnd"/>
      <w:r w:rsidRPr="00166541">
        <w:rPr>
          <w:rFonts w:asciiTheme="majorBidi" w:eastAsia="Times New Roman" w:hAnsiTheme="majorBidi" w:cstheme="majorBidi"/>
          <w:sz w:val="24"/>
          <w:szCs w:val="24"/>
        </w:rPr>
        <w:t xml:space="preserve"> et al. (2020) and Kamal et al. (2018), which demonstrated a robust correlation between higher waist circumference and cardiovascular risk as well as disease severity. The insignificant result may indicate the prevalence of abdominal obesity across various types of vascular disease in Egypt. </w:t>
      </w:r>
      <w:r w:rsidRPr="00166541">
        <w:rPr>
          <w:rFonts w:asciiTheme="majorBidi" w:eastAsia="Times New Roman" w:hAnsiTheme="majorBidi" w:cstheme="majorBidi"/>
          <w:sz w:val="24"/>
          <w:szCs w:val="24"/>
        </w:rPr>
        <w:br/>
        <w:t xml:space="preserve">Regionally, </w:t>
      </w:r>
      <w:proofErr w:type="spellStart"/>
      <w:r w:rsidRPr="00166541">
        <w:rPr>
          <w:rFonts w:asciiTheme="majorBidi" w:eastAsia="Times New Roman" w:hAnsiTheme="majorBidi" w:cstheme="majorBidi"/>
          <w:sz w:val="24"/>
          <w:szCs w:val="24"/>
        </w:rPr>
        <w:t>Shehab</w:t>
      </w:r>
      <w:proofErr w:type="spellEnd"/>
      <w:r w:rsidRPr="00166541">
        <w:rPr>
          <w:rFonts w:asciiTheme="majorBidi" w:eastAsia="Times New Roman" w:hAnsiTheme="majorBidi" w:cstheme="majorBidi"/>
          <w:sz w:val="24"/>
          <w:szCs w:val="24"/>
        </w:rPr>
        <w:t xml:space="preserve"> et al. (2023) indicated elevated waist circumference averages (&gt;106 cm) among UAE patients, implying regional or lifestyle-related variability in central obesity patterns. Nonetheless, the WC findings in our study suggest a high metabolic load shared across</w:t>
      </w:r>
      <w:r w:rsidR="003E5BAD">
        <w:rPr>
          <w:rFonts w:asciiTheme="majorBidi" w:eastAsia="Times New Roman" w:hAnsiTheme="majorBidi" w:cstheme="majorBidi"/>
          <w:sz w:val="24"/>
          <w:szCs w:val="24"/>
        </w:rPr>
        <w:t xml:space="preserve"> all vascular disease groups. </w:t>
      </w:r>
    </w:p>
    <w:p w:rsidR="003E5BAD" w:rsidRDefault="00166541" w:rsidP="003E5BAD">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Concerning bl</w:t>
      </w:r>
      <w:r w:rsidR="003E5BAD">
        <w:rPr>
          <w:rFonts w:asciiTheme="majorBidi" w:eastAsia="Times New Roman" w:hAnsiTheme="majorBidi" w:cstheme="majorBidi"/>
          <w:sz w:val="24"/>
          <w:szCs w:val="24"/>
        </w:rPr>
        <w:t xml:space="preserve">ood pressure and </w:t>
      </w:r>
      <w:proofErr w:type="gramStart"/>
      <w:r w:rsidR="003E5BAD">
        <w:rPr>
          <w:rFonts w:asciiTheme="majorBidi" w:eastAsia="Times New Roman" w:hAnsiTheme="majorBidi" w:cstheme="majorBidi"/>
          <w:sz w:val="24"/>
          <w:szCs w:val="24"/>
        </w:rPr>
        <w:t xml:space="preserve">hypertension,  </w:t>
      </w:r>
      <w:r w:rsidRPr="00166541">
        <w:rPr>
          <w:rFonts w:asciiTheme="majorBidi" w:eastAsia="Times New Roman" w:hAnsiTheme="majorBidi" w:cstheme="majorBidi"/>
          <w:sz w:val="24"/>
          <w:szCs w:val="24"/>
        </w:rPr>
        <w:t>Hypertension</w:t>
      </w:r>
      <w:proofErr w:type="gramEnd"/>
      <w:r w:rsidRPr="00166541">
        <w:rPr>
          <w:rFonts w:asciiTheme="majorBidi" w:eastAsia="Times New Roman" w:hAnsiTheme="majorBidi" w:cstheme="majorBidi"/>
          <w:sz w:val="24"/>
          <w:szCs w:val="24"/>
        </w:rPr>
        <w:t xml:space="preserve"> (HTN) was common throughout all vascular disease categories, exhibiting no statistically significant differences: 44.8% in coronary artery disease (CAD), 49.8% in cerebrovascular disease (CVD) (table 11), and 44.2% in peripheral artery disease (PAD) (p = 0.296) (Table 2). These percentages align with national statistics from the </w:t>
      </w:r>
      <w:proofErr w:type="spellStart"/>
      <w:r w:rsidRPr="00166541">
        <w:rPr>
          <w:rFonts w:asciiTheme="majorBidi" w:eastAsia="Times New Roman" w:hAnsiTheme="majorBidi" w:cstheme="majorBidi"/>
          <w:sz w:val="24"/>
          <w:szCs w:val="24"/>
        </w:rPr>
        <w:t>CardioRisk</w:t>
      </w:r>
      <w:proofErr w:type="spellEnd"/>
      <w:r w:rsidRPr="00166541">
        <w:rPr>
          <w:rFonts w:asciiTheme="majorBidi" w:eastAsia="Times New Roman" w:hAnsiTheme="majorBidi" w:cstheme="majorBidi"/>
          <w:sz w:val="24"/>
          <w:szCs w:val="24"/>
        </w:rPr>
        <w:t xml:space="preserve"> project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which identified hypertension in approximately 47% of acute coronary syndrome (ACS) patients throughout Egypt. This finding contrasts with the conclusions of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and Francis et al. (2024), who identified a more pronounced correlation between hypertension and stroke or PAD. The minimal variance observed may indicate the elevated baseline prevalence of hypertension among all vascular disease categories in Egypt, as shown by the Egyptian Hypertension Clinics Registry (El </w:t>
      </w:r>
      <w:proofErr w:type="spellStart"/>
      <w:r w:rsidRPr="00166541">
        <w:rPr>
          <w:rFonts w:asciiTheme="majorBidi" w:eastAsia="Times New Roman" w:hAnsiTheme="majorBidi" w:cstheme="majorBidi"/>
          <w:sz w:val="24"/>
          <w:szCs w:val="24"/>
        </w:rPr>
        <w:t>Faramawy</w:t>
      </w:r>
      <w:proofErr w:type="spellEnd"/>
      <w:r w:rsidRPr="00166541">
        <w:rPr>
          <w:rFonts w:asciiTheme="majorBidi" w:eastAsia="Times New Roman" w:hAnsiTheme="majorBidi" w:cstheme="majorBidi"/>
          <w:sz w:val="24"/>
          <w:szCs w:val="24"/>
        </w:rPr>
        <w:t xml:space="preserve"> et al., 2020). </w:t>
      </w:r>
      <w:r w:rsidRPr="00166541">
        <w:rPr>
          <w:rFonts w:asciiTheme="majorBidi" w:eastAsia="Times New Roman" w:hAnsiTheme="majorBidi" w:cstheme="majorBidi"/>
          <w:sz w:val="24"/>
          <w:szCs w:val="24"/>
        </w:rPr>
        <w:br/>
        <w:t xml:space="preserve">The prevalence of CAD (44.8%) corresponds with the findings of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in </w:t>
      </w:r>
      <w:proofErr w:type="spellStart"/>
      <w:r w:rsidRPr="00166541">
        <w:rPr>
          <w:rFonts w:asciiTheme="majorBidi" w:eastAsia="Times New Roman" w:hAnsiTheme="majorBidi" w:cstheme="majorBidi"/>
          <w:sz w:val="24"/>
          <w:szCs w:val="24"/>
        </w:rPr>
        <w:t>Menoufia</w:t>
      </w:r>
      <w:proofErr w:type="spellEnd"/>
      <w:r w:rsidRPr="00166541">
        <w:rPr>
          <w:rFonts w:asciiTheme="majorBidi" w:eastAsia="Times New Roman" w:hAnsiTheme="majorBidi" w:cstheme="majorBidi"/>
          <w:sz w:val="24"/>
          <w:szCs w:val="24"/>
        </w:rPr>
        <w:t xml:space="preserve"> (45%), although PAD patients had comparable values at 44.2%. A marginally elevated prevalence (49.8%) was seen in CVD, consistent with the results of </w:t>
      </w:r>
      <w:proofErr w:type="spellStart"/>
      <w:r w:rsidRPr="00166541">
        <w:rPr>
          <w:rFonts w:asciiTheme="majorBidi" w:eastAsia="Times New Roman" w:hAnsiTheme="majorBidi" w:cstheme="majorBidi"/>
          <w:sz w:val="24"/>
          <w:szCs w:val="24"/>
        </w:rPr>
        <w:t>Elkersh</w:t>
      </w:r>
      <w:proofErr w:type="spellEnd"/>
      <w:r w:rsidRPr="00166541">
        <w:rPr>
          <w:rFonts w:asciiTheme="majorBidi" w:eastAsia="Times New Roman" w:hAnsiTheme="majorBidi" w:cstheme="majorBidi"/>
          <w:sz w:val="24"/>
          <w:szCs w:val="24"/>
        </w:rPr>
        <w:t xml:space="preserve"> et al. (2022) and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(2019). </w:t>
      </w:r>
      <w:proofErr w:type="spellStart"/>
      <w:r w:rsidRPr="00166541">
        <w:rPr>
          <w:rFonts w:asciiTheme="majorBidi" w:eastAsia="Times New Roman" w:hAnsiTheme="majorBidi" w:cstheme="majorBidi"/>
          <w:sz w:val="24"/>
          <w:szCs w:val="24"/>
        </w:rPr>
        <w:t>Khedr</w:t>
      </w:r>
      <w:proofErr w:type="spellEnd"/>
      <w:r w:rsidRPr="00166541">
        <w:rPr>
          <w:rFonts w:asciiTheme="majorBidi" w:eastAsia="Times New Roman" w:hAnsiTheme="majorBidi" w:cstheme="majorBidi"/>
          <w:sz w:val="24"/>
          <w:szCs w:val="24"/>
        </w:rPr>
        <w:t xml:space="preserve"> et al. (2021) showed markedly elevated hypertension rates (&gt;65%) in </w:t>
      </w:r>
      <w:proofErr w:type="spellStart"/>
      <w:r w:rsidRPr="00166541">
        <w:rPr>
          <w:rFonts w:asciiTheme="majorBidi" w:eastAsia="Times New Roman" w:hAnsiTheme="majorBidi" w:cstheme="majorBidi"/>
          <w:sz w:val="24"/>
          <w:szCs w:val="24"/>
        </w:rPr>
        <w:t>ischaemic</w:t>
      </w:r>
      <w:proofErr w:type="spellEnd"/>
      <w:r w:rsidRPr="00166541">
        <w:rPr>
          <w:rFonts w:asciiTheme="majorBidi" w:eastAsia="Times New Roman" w:hAnsiTheme="majorBidi" w:cstheme="majorBidi"/>
          <w:sz w:val="24"/>
          <w:szCs w:val="24"/>
        </w:rPr>
        <w:t xml:space="preserve"> stroke patients, potentially indicative of demographic, regional, or clinical disparities, especially in more severe or uncontrolled insta</w:t>
      </w:r>
      <w:r w:rsidR="003E5BAD">
        <w:rPr>
          <w:rFonts w:asciiTheme="majorBidi" w:eastAsia="Times New Roman" w:hAnsiTheme="majorBidi" w:cstheme="majorBidi"/>
          <w:sz w:val="24"/>
          <w:szCs w:val="24"/>
        </w:rPr>
        <w:t xml:space="preserve">nces. </w:t>
      </w:r>
    </w:p>
    <w:p w:rsidR="00EF2AB6" w:rsidRDefault="00166541" w:rsidP="00EF2AB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Concerning </w:t>
      </w:r>
      <w:proofErr w:type="spellStart"/>
      <w:r w:rsidRPr="00166541">
        <w:rPr>
          <w:rFonts w:asciiTheme="majorBidi" w:eastAsia="Times New Roman" w:hAnsiTheme="majorBidi" w:cstheme="majorBidi"/>
          <w:sz w:val="24"/>
          <w:szCs w:val="24"/>
        </w:rPr>
        <w:t>dy</w:t>
      </w:r>
      <w:r w:rsidR="003E5BAD">
        <w:rPr>
          <w:rFonts w:asciiTheme="majorBidi" w:eastAsia="Times New Roman" w:hAnsiTheme="majorBidi" w:cstheme="majorBidi"/>
          <w:sz w:val="24"/>
          <w:szCs w:val="24"/>
        </w:rPr>
        <w:t>slipidaemia</w:t>
      </w:r>
      <w:proofErr w:type="spellEnd"/>
      <w:r w:rsidR="003E5BAD">
        <w:rPr>
          <w:rFonts w:asciiTheme="majorBidi" w:eastAsia="Times New Roman" w:hAnsiTheme="majorBidi" w:cstheme="majorBidi"/>
          <w:sz w:val="24"/>
          <w:szCs w:val="24"/>
        </w:rPr>
        <w:t xml:space="preserve"> and lipid profile, </w:t>
      </w:r>
      <w:proofErr w:type="spellStart"/>
      <w:r w:rsidRPr="00166541">
        <w:rPr>
          <w:rFonts w:asciiTheme="majorBidi" w:eastAsia="Times New Roman" w:hAnsiTheme="majorBidi" w:cstheme="majorBidi"/>
          <w:sz w:val="24"/>
          <w:szCs w:val="24"/>
        </w:rPr>
        <w:t>Dyslipidaemia</w:t>
      </w:r>
      <w:proofErr w:type="spellEnd"/>
      <w:r w:rsidRPr="00166541">
        <w:rPr>
          <w:rFonts w:asciiTheme="majorBidi" w:eastAsia="Times New Roman" w:hAnsiTheme="majorBidi" w:cstheme="majorBidi"/>
          <w:sz w:val="24"/>
          <w:szCs w:val="24"/>
        </w:rPr>
        <w:t xml:space="preserve"> was identified in around 45% of patients—45.1% in CAD, 45.2% in CVD, and 47.4% in PAD—without statistically significant differences (p=0.788), highlighting its common involvement in atherosclerotic disorders. These findings correspond with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and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who documented comparable frequencies (44–48%) of lipid abnormalities in Egyptian patients with ACS and stroke. </w:t>
      </w:r>
      <w:proofErr w:type="spellStart"/>
      <w:r w:rsidRPr="00166541">
        <w:rPr>
          <w:rFonts w:asciiTheme="majorBidi" w:eastAsia="Times New Roman" w:hAnsiTheme="majorBidi" w:cstheme="majorBidi"/>
          <w:sz w:val="24"/>
          <w:szCs w:val="24"/>
        </w:rPr>
        <w:t>Elhfnawy</w:t>
      </w:r>
      <w:proofErr w:type="spellEnd"/>
      <w:r w:rsidRPr="00166541">
        <w:rPr>
          <w:rFonts w:asciiTheme="majorBidi" w:eastAsia="Times New Roman" w:hAnsiTheme="majorBidi" w:cstheme="majorBidi"/>
          <w:sz w:val="24"/>
          <w:szCs w:val="24"/>
        </w:rPr>
        <w:t xml:space="preserve"> et al. (2023) observed elevated </w:t>
      </w:r>
      <w:proofErr w:type="spellStart"/>
      <w:r w:rsidRPr="00166541">
        <w:rPr>
          <w:rFonts w:asciiTheme="majorBidi" w:eastAsia="Times New Roman" w:hAnsiTheme="majorBidi" w:cstheme="majorBidi"/>
          <w:sz w:val="24"/>
          <w:szCs w:val="24"/>
        </w:rPr>
        <w:t>dyslipidaemia</w:t>
      </w:r>
      <w:proofErr w:type="spellEnd"/>
      <w:r w:rsidRPr="00166541">
        <w:rPr>
          <w:rFonts w:asciiTheme="majorBidi" w:eastAsia="Times New Roman" w:hAnsiTheme="majorBidi" w:cstheme="majorBidi"/>
          <w:sz w:val="24"/>
          <w:szCs w:val="24"/>
        </w:rPr>
        <w:t xml:space="preserve"> rates above 60% in patients with carotid atherosclerosis, indicating possible differences based on vascular region or disease severity. The mean total cholesterol levels varied between 205.88 and 208.54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xml:space="preserve"> (p=0.726), beyond the recommended limit (&lt;200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xml:space="preserve">) and aligning with the national averages documented by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Triglyceride levels were uniformly increased across all groups (mean ≈223–226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p=0.702), significantly beyond the optimum threshold of 150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xml:space="preserve">, corroborating findings by </w:t>
      </w:r>
      <w:proofErr w:type="spellStart"/>
      <w:r w:rsidRPr="00166541">
        <w:rPr>
          <w:rFonts w:asciiTheme="majorBidi" w:eastAsia="Times New Roman" w:hAnsiTheme="majorBidi" w:cstheme="majorBidi"/>
          <w:sz w:val="24"/>
          <w:szCs w:val="24"/>
        </w:rPr>
        <w:t>Assem</w:t>
      </w:r>
      <w:proofErr w:type="spellEnd"/>
      <w:r w:rsidRPr="00166541">
        <w:rPr>
          <w:rFonts w:asciiTheme="majorBidi" w:eastAsia="Times New Roman" w:hAnsiTheme="majorBidi" w:cstheme="majorBidi"/>
          <w:sz w:val="24"/>
          <w:szCs w:val="24"/>
        </w:rPr>
        <w:t xml:space="preserve"> et al. (2021) and regional investigations by </w:t>
      </w:r>
      <w:proofErr w:type="spellStart"/>
      <w:r w:rsidRPr="00166541">
        <w:rPr>
          <w:rFonts w:asciiTheme="majorBidi" w:eastAsia="Times New Roman" w:hAnsiTheme="majorBidi" w:cstheme="majorBidi"/>
          <w:sz w:val="24"/>
          <w:szCs w:val="24"/>
        </w:rPr>
        <w:t>Shehab</w:t>
      </w:r>
      <w:proofErr w:type="spellEnd"/>
      <w:r w:rsidRPr="00166541">
        <w:rPr>
          <w:rFonts w:asciiTheme="majorBidi" w:eastAsia="Times New Roman" w:hAnsiTheme="majorBidi" w:cstheme="majorBidi"/>
          <w:sz w:val="24"/>
          <w:szCs w:val="24"/>
        </w:rPr>
        <w:t xml:space="preserve"> et al. (2023). LDL-C readings were consistently elevated (≈125–127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p=0.592), above secondary prevention objectives (&lt;100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xml:space="preserve">), corroborating findings by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and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who </w:t>
      </w:r>
      <w:proofErr w:type="spellStart"/>
      <w:r w:rsidRPr="00166541">
        <w:rPr>
          <w:rFonts w:asciiTheme="majorBidi" w:eastAsia="Times New Roman" w:hAnsiTheme="majorBidi" w:cstheme="majorBidi"/>
          <w:sz w:val="24"/>
          <w:szCs w:val="24"/>
        </w:rPr>
        <w:t>emphasised</w:t>
      </w:r>
      <w:proofErr w:type="spellEnd"/>
      <w:r w:rsidRPr="00166541">
        <w:rPr>
          <w:rFonts w:asciiTheme="majorBidi" w:eastAsia="Times New Roman" w:hAnsiTheme="majorBidi" w:cstheme="majorBidi"/>
          <w:sz w:val="24"/>
          <w:szCs w:val="24"/>
        </w:rPr>
        <w:t xml:space="preserve"> ongoing deficiencies in lipid management across the nation. HDL-C levels were similar across groups (mean ≈46.3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p=0.996), exhibiting anticipated gender disparities—</w:t>
      </w:r>
      <w:r w:rsidRPr="00166541">
        <w:rPr>
          <w:rFonts w:asciiTheme="majorBidi" w:eastAsia="Times New Roman" w:hAnsiTheme="majorBidi" w:cstheme="majorBidi"/>
          <w:sz w:val="24"/>
          <w:szCs w:val="24"/>
        </w:rPr>
        <w:lastRenderedPageBreak/>
        <w:t xml:space="preserve">females exhibited greater HDL levels than males, albeit frequently below optimal sex-specific thresholds. These findings jointly underscore the systemic characteristics of </w:t>
      </w:r>
      <w:proofErr w:type="spellStart"/>
      <w:r w:rsidRPr="00166541">
        <w:rPr>
          <w:rFonts w:asciiTheme="majorBidi" w:eastAsia="Times New Roman" w:hAnsiTheme="majorBidi" w:cstheme="majorBidi"/>
          <w:sz w:val="24"/>
          <w:szCs w:val="24"/>
        </w:rPr>
        <w:t>dyslipidaemia</w:t>
      </w:r>
      <w:proofErr w:type="spellEnd"/>
      <w:r w:rsidRPr="00166541">
        <w:rPr>
          <w:rFonts w:asciiTheme="majorBidi" w:eastAsia="Times New Roman" w:hAnsiTheme="majorBidi" w:cstheme="majorBidi"/>
          <w:sz w:val="24"/>
          <w:szCs w:val="24"/>
        </w:rPr>
        <w:t xml:space="preserve"> throughout vascular regions and </w:t>
      </w:r>
      <w:proofErr w:type="spellStart"/>
      <w:r w:rsidRPr="00166541">
        <w:rPr>
          <w:rFonts w:asciiTheme="majorBidi" w:eastAsia="Times New Roman" w:hAnsiTheme="majorBidi" w:cstheme="majorBidi"/>
          <w:sz w:val="24"/>
          <w:szCs w:val="24"/>
        </w:rPr>
        <w:t>emphasise</w:t>
      </w:r>
      <w:proofErr w:type="spellEnd"/>
      <w:r w:rsidRPr="00166541">
        <w:rPr>
          <w:rFonts w:asciiTheme="majorBidi" w:eastAsia="Times New Roman" w:hAnsiTheme="majorBidi" w:cstheme="majorBidi"/>
          <w:sz w:val="24"/>
          <w:szCs w:val="24"/>
        </w:rPr>
        <w:t xml:space="preserve"> the necessity for more assertive lipid management approaches in high-risk Egyptian populations. This homogeneity stands in contrast to </w:t>
      </w:r>
      <w:proofErr w:type="spellStart"/>
      <w:r w:rsidRPr="00166541">
        <w:rPr>
          <w:rFonts w:asciiTheme="majorBidi" w:eastAsia="Times New Roman" w:hAnsiTheme="majorBidi" w:cstheme="majorBidi"/>
          <w:sz w:val="24"/>
          <w:szCs w:val="24"/>
        </w:rPr>
        <w:t>Sobhy</w:t>
      </w:r>
      <w:proofErr w:type="spellEnd"/>
      <w:r w:rsidRPr="00166541">
        <w:rPr>
          <w:rFonts w:asciiTheme="majorBidi" w:eastAsia="Times New Roman" w:hAnsiTheme="majorBidi" w:cstheme="majorBidi"/>
          <w:sz w:val="24"/>
          <w:szCs w:val="24"/>
        </w:rPr>
        <w:t xml:space="preserve"> et al. (2018), who identified elevated frequencies of lipid abnormalities in patients with CAD. The observed similarity may indicate prevalent dietary risk factors and the </w:t>
      </w:r>
      <w:proofErr w:type="spellStart"/>
      <w:r w:rsidRPr="00166541">
        <w:rPr>
          <w:rFonts w:asciiTheme="majorBidi" w:eastAsia="Times New Roman" w:hAnsiTheme="majorBidi" w:cstheme="majorBidi"/>
          <w:sz w:val="24"/>
          <w:szCs w:val="24"/>
        </w:rPr>
        <w:t>underdiagnosis</w:t>
      </w:r>
      <w:proofErr w:type="spellEnd"/>
      <w:r w:rsidRPr="00166541">
        <w:rPr>
          <w:rFonts w:asciiTheme="majorBidi" w:eastAsia="Times New Roman" w:hAnsiTheme="majorBidi" w:cstheme="majorBidi"/>
          <w:sz w:val="24"/>
          <w:szCs w:val="24"/>
        </w:rPr>
        <w:t xml:space="preserve"> or </w:t>
      </w:r>
      <w:proofErr w:type="spellStart"/>
      <w:r w:rsidRPr="00166541">
        <w:rPr>
          <w:rFonts w:asciiTheme="majorBidi" w:eastAsia="Times New Roman" w:hAnsiTheme="majorBidi" w:cstheme="majorBidi"/>
          <w:sz w:val="24"/>
          <w:szCs w:val="24"/>
        </w:rPr>
        <w:t>undertreatment</w:t>
      </w:r>
      <w:proofErr w:type="spellEnd"/>
      <w:r w:rsidRPr="00166541">
        <w:rPr>
          <w:rFonts w:asciiTheme="majorBidi" w:eastAsia="Times New Roman" w:hAnsiTheme="majorBidi" w:cstheme="majorBidi"/>
          <w:sz w:val="24"/>
          <w:szCs w:val="24"/>
        </w:rPr>
        <w:t xml:space="preserve"> of lipid diseases in Egypt, as highlighted by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w:t>
      </w:r>
    </w:p>
    <w:p w:rsidR="00EF2AB6" w:rsidRDefault="00166541" w:rsidP="00EF2AB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Diabetes mellitus (DM) exhibited similar prevalence across the three vascular categories, impacting 47.0% of CAD patients, 49.5% of cerebrovascular patients, and 46.1% of PAD patients, with no statistically significant difference (p = 0.663). These percentages correspond with earlier regional research, like Hussein et al. (2020), which documented a 48% prevalence of diabetes among cardiovascular patients in Upper Egypt. </w:t>
      </w:r>
      <w:proofErr w:type="spellStart"/>
      <w:r w:rsidRPr="00166541">
        <w:rPr>
          <w:rFonts w:asciiTheme="majorBidi" w:eastAsia="Times New Roman" w:hAnsiTheme="majorBidi" w:cstheme="majorBidi"/>
          <w:sz w:val="24"/>
          <w:szCs w:val="24"/>
        </w:rPr>
        <w:t>Reda</w:t>
      </w:r>
      <w:proofErr w:type="spellEnd"/>
      <w:r w:rsidRPr="00166541">
        <w:rPr>
          <w:rFonts w:asciiTheme="majorBidi" w:eastAsia="Times New Roman" w:hAnsiTheme="majorBidi" w:cstheme="majorBidi"/>
          <w:sz w:val="24"/>
          <w:szCs w:val="24"/>
        </w:rPr>
        <w:t xml:space="preserve"> et al. (2021) and </w:t>
      </w:r>
      <w:proofErr w:type="spellStart"/>
      <w:r w:rsidRPr="00166541">
        <w:rPr>
          <w:rFonts w:asciiTheme="majorBidi" w:eastAsia="Times New Roman" w:hAnsiTheme="majorBidi" w:cstheme="majorBidi"/>
          <w:sz w:val="24"/>
          <w:szCs w:val="24"/>
        </w:rPr>
        <w:t>Laimoud</w:t>
      </w:r>
      <w:proofErr w:type="spellEnd"/>
      <w:r w:rsidRPr="00166541">
        <w:rPr>
          <w:rFonts w:asciiTheme="majorBidi" w:eastAsia="Times New Roman" w:hAnsiTheme="majorBidi" w:cstheme="majorBidi"/>
          <w:sz w:val="24"/>
          <w:szCs w:val="24"/>
        </w:rPr>
        <w:t xml:space="preserve"> et al. (2018) also reported that over fifty percent of Egyptian patients with vascular disease have diabetes.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observed a diabetes prevalence over 60% in PAD patients, possibly indicating a greater atherosclerotic burden or inequities in diabetes management and healthcare accessibility. This corresponds with </w:t>
      </w:r>
      <w:proofErr w:type="spellStart"/>
      <w:r w:rsidRPr="00166541">
        <w:rPr>
          <w:rFonts w:asciiTheme="majorBidi" w:eastAsia="Times New Roman" w:hAnsiTheme="majorBidi" w:cstheme="majorBidi"/>
          <w:sz w:val="24"/>
          <w:szCs w:val="24"/>
        </w:rPr>
        <w:t>Assem</w:t>
      </w:r>
      <w:proofErr w:type="spellEnd"/>
      <w:r w:rsidRPr="00166541">
        <w:rPr>
          <w:rFonts w:asciiTheme="majorBidi" w:eastAsia="Times New Roman" w:hAnsiTheme="majorBidi" w:cstheme="majorBidi"/>
          <w:sz w:val="24"/>
          <w:szCs w:val="24"/>
        </w:rPr>
        <w:t xml:space="preserve"> et al. (2021), who identified diabetes as a significant common determinant of both </w:t>
      </w:r>
      <w:proofErr w:type="spellStart"/>
      <w:r w:rsidRPr="00166541">
        <w:rPr>
          <w:rFonts w:asciiTheme="majorBidi" w:eastAsia="Times New Roman" w:hAnsiTheme="majorBidi" w:cstheme="majorBidi"/>
          <w:sz w:val="24"/>
          <w:szCs w:val="24"/>
        </w:rPr>
        <w:t>macrovascular</w:t>
      </w:r>
      <w:proofErr w:type="spellEnd"/>
      <w:r w:rsidRPr="00166541">
        <w:rPr>
          <w:rFonts w:asciiTheme="majorBidi" w:eastAsia="Times New Roman" w:hAnsiTheme="majorBidi" w:cstheme="majorBidi"/>
          <w:sz w:val="24"/>
          <w:szCs w:val="24"/>
        </w:rPr>
        <w:t xml:space="preserve"> and microvascular </w:t>
      </w:r>
      <w:r w:rsidR="00EF2AB6">
        <w:rPr>
          <w:rFonts w:asciiTheme="majorBidi" w:eastAsia="Times New Roman" w:hAnsiTheme="majorBidi" w:cstheme="majorBidi"/>
          <w:sz w:val="24"/>
          <w:szCs w:val="24"/>
        </w:rPr>
        <w:t xml:space="preserve">problems in Egyptian patients. </w:t>
      </w:r>
    </w:p>
    <w:p w:rsidR="00407DE0" w:rsidRDefault="00166541" w:rsidP="00EF2AB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Fasting blood sugar (FBS) levels were comparable among the three groups (CAD: 120.89 ± 17.05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CVD: 120.43 ± 17.67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PAD: 120.09 ± 17.37 mg/</w:t>
      </w:r>
      <w:proofErr w:type="spellStart"/>
      <w:r w:rsidRPr="00166541">
        <w:rPr>
          <w:rFonts w:asciiTheme="majorBidi" w:eastAsia="Times New Roman" w:hAnsiTheme="majorBidi" w:cstheme="majorBidi"/>
          <w:sz w:val="24"/>
          <w:szCs w:val="24"/>
        </w:rPr>
        <w:t>dL</w:t>
      </w:r>
      <w:proofErr w:type="spellEnd"/>
      <w:r w:rsidRPr="00166541">
        <w:rPr>
          <w:rFonts w:asciiTheme="majorBidi" w:eastAsia="Times New Roman" w:hAnsiTheme="majorBidi" w:cstheme="majorBidi"/>
          <w:sz w:val="24"/>
          <w:szCs w:val="24"/>
        </w:rPr>
        <w:t xml:space="preserve">), exhibiting no statistically significant difference (p = 0.830). This resemblance underscores the shared metabolic foundation of atherosclerotic illnesses. These findings differ marginally from those of Hussein et al. (2020), who indicated that FBS levels were considerably elevated in PAD relative to CVD and CAD among Egyptian diabetic patients. The existing consistency may result from comparable diabetes prevalence and </w:t>
      </w:r>
      <w:proofErr w:type="spellStart"/>
      <w:r w:rsidRPr="00166541">
        <w:rPr>
          <w:rFonts w:asciiTheme="majorBidi" w:eastAsia="Times New Roman" w:hAnsiTheme="majorBidi" w:cstheme="majorBidi"/>
          <w:sz w:val="24"/>
          <w:szCs w:val="24"/>
        </w:rPr>
        <w:t>glycaemic</w:t>
      </w:r>
      <w:proofErr w:type="spellEnd"/>
      <w:r w:rsidRPr="00166541">
        <w:rPr>
          <w:rFonts w:asciiTheme="majorBidi" w:eastAsia="Times New Roman" w:hAnsiTheme="majorBidi" w:cstheme="majorBidi"/>
          <w:sz w:val="24"/>
          <w:szCs w:val="24"/>
        </w:rPr>
        <w:t xml:space="preserve"> regulation among the study groups. </w:t>
      </w:r>
      <w:r w:rsidRPr="00166541">
        <w:rPr>
          <w:rFonts w:asciiTheme="majorBidi" w:eastAsia="Times New Roman" w:hAnsiTheme="majorBidi" w:cstheme="majorBidi"/>
          <w:sz w:val="24"/>
          <w:szCs w:val="24"/>
        </w:rPr>
        <w:br/>
        <w:t>Concerning diabetes subtypes, type 2 diabetes mellitus (T2DM) was predominant in all groups, with no significant intergroup variance (p = 0.895). Type 2 diabetes mellitus (T2DM) was observed in 24.9% of coronary artery disease (CAD) patients, 27.2% of cardiovascular disease (CVD) patients, and 24.6% of peripheral artery disease (PAD) patients. These findings align with El-</w:t>
      </w:r>
      <w:proofErr w:type="spellStart"/>
      <w:r w:rsidRPr="00166541">
        <w:rPr>
          <w:rFonts w:asciiTheme="majorBidi" w:eastAsia="Times New Roman" w:hAnsiTheme="majorBidi" w:cstheme="majorBidi"/>
          <w:sz w:val="24"/>
          <w:szCs w:val="24"/>
        </w:rPr>
        <w:t>Moselhy</w:t>
      </w:r>
      <w:proofErr w:type="spellEnd"/>
      <w:r w:rsidRPr="00166541">
        <w:rPr>
          <w:rFonts w:asciiTheme="majorBidi" w:eastAsia="Times New Roman" w:hAnsiTheme="majorBidi" w:cstheme="majorBidi"/>
          <w:sz w:val="24"/>
          <w:szCs w:val="24"/>
        </w:rPr>
        <w:t xml:space="preserve"> et al. (2018), who established T2DM as the prevalent subtype among senior CAD patients. The prevalence of T2DM is corroborated by </w:t>
      </w:r>
      <w:proofErr w:type="spellStart"/>
      <w:r w:rsidRPr="00166541">
        <w:rPr>
          <w:rFonts w:asciiTheme="majorBidi" w:eastAsia="Times New Roman" w:hAnsiTheme="majorBidi" w:cstheme="majorBidi"/>
          <w:sz w:val="24"/>
          <w:szCs w:val="24"/>
        </w:rPr>
        <w:t>Assem</w:t>
      </w:r>
      <w:proofErr w:type="spellEnd"/>
      <w:r w:rsidRPr="00166541">
        <w:rPr>
          <w:rFonts w:asciiTheme="majorBidi" w:eastAsia="Times New Roman" w:hAnsiTheme="majorBidi" w:cstheme="majorBidi"/>
          <w:sz w:val="24"/>
          <w:szCs w:val="24"/>
        </w:rPr>
        <w:t xml:space="preserve"> et al. (2021), who identified T2DM in more than 50% of PAD patients with </w:t>
      </w:r>
      <w:proofErr w:type="spellStart"/>
      <w:r w:rsidRPr="00166541">
        <w:rPr>
          <w:rFonts w:asciiTheme="majorBidi" w:eastAsia="Times New Roman" w:hAnsiTheme="majorBidi" w:cstheme="majorBidi"/>
          <w:sz w:val="24"/>
          <w:szCs w:val="24"/>
        </w:rPr>
        <w:t>macrovascular</w:t>
      </w:r>
      <w:proofErr w:type="spellEnd"/>
      <w:r w:rsidRPr="00166541">
        <w:rPr>
          <w:rFonts w:asciiTheme="majorBidi" w:eastAsia="Times New Roman" w:hAnsiTheme="majorBidi" w:cstheme="majorBidi"/>
          <w:sz w:val="24"/>
          <w:szCs w:val="24"/>
        </w:rPr>
        <w:t xml:space="preserve"> problems, and by </w:t>
      </w:r>
      <w:proofErr w:type="spellStart"/>
      <w:r w:rsidRPr="00166541">
        <w:rPr>
          <w:rFonts w:asciiTheme="majorBidi" w:eastAsia="Times New Roman" w:hAnsiTheme="majorBidi" w:cstheme="majorBidi"/>
          <w:sz w:val="24"/>
          <w:szCs w:val="24"/>
        </w:rPr>
        <w:t>Laimoud</w:t>
      </w:r>
      <w:proofErr w:type="spellEnd"/>
      <w:r w:rsidRPr="00166541">
        <w:rPr>
          <w:rFonts w:asciiTheme="majorBidi" w:eastAsia="Times New Roman" w:hAnsiTheme="majorBidi" w:cstheme="majorBidi"/>
          <w:sz w:val="24"/>
          <w:szCs w:val="24"/>
        </w:rPr>
        <w:t xml:space="preserve"> et al. (2018), who connected T2DM to CAD and stroke due to its significant association with insulin </w:t>
      </w:r>
      <w:r w:rsidR="00407DE0">
        <w:rPr>
          <w:rFonts w:asciiTheme="majorBidi" w:eastAsia="Times New Roman" w:hAnsiTheme="majorBidi" w:cstheme="majorBidi"/>
          <w:sz w:val="24"/>
          <w:szCs w:val="24"/>
        </w:rPr>
        <w:t xml:space="preserve">resistance and </w:t>
      </w:r>
      <w:proofErr w:type="spellStart"/>
      <w:r w:rsidR="00407DE0">
        <w:rPr>
          <w:rFonts w:asciiTheme="majorBidi" w:eastAsia="Times New Roman" w:hAnsiTheme="majorBidi" w:cstheme="majorBidi"/>
          <w:sz w:val="24"/>
          <w:szCs w:val="24"/>
        </w:rPr>
        <w:t>dyslipidaemia</w:t>
      </w:r>
      <w:proofErr w:type="spellEnd"/>
      <w:r w:rsidR="00407DE0">
        <w:rPr>
          <w:rFonts w:asciiTheme="majorBidi" w:eastAsia="Times New Roman" w:hAnsiTheme="majorBidi" w:cstheme="majorBidi"/>
          <w:sz w:val="24"/>
          <w:szCs w:val="24"/>
        </w:rPr>
        <w:t xml:space="preserve">. </w:t>
      </w:r>
    </w:p>
    <w:p w:rsidR="00407DE0" w:rsidRDefault="00166541" w:rsidP="00EF2AB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The prevalence of type 1 diabetes mellitus (T1DM) in this cohort was notably elevated—22.1% in CAD, 22.6% in CVD, and 21.5% in PAD—statistics that surpass those documented in the majority of national investigations. </w:t>
      </w:r>
      <w:proofErr w:type="spellStart"/>
      <w:r w:rsidRPr="00166541">
        <w:rPr>
          <w:rFonts w:asciiTheme="majorBidi" w:eastAsia="Times New Roman" w:hAnsiTheme="majorBidi" w:cstheme="majorBidi"/>
          <w:sz w:val="24"/>
          <w:szCs w:val="24"/>
        </w:rPr>
        <w:t>Assem</w:t>
      </w:r>
      <w:proofErr w:type="spellEnd"/>
      <w:r w:rsidRPr="00166541">
        <w:rPr>
          <w:rFonts w:asciiTheme="majorBidi" w:eastAsia="Times New Roman" w:hAnsiTheme="majorBidi" w:cstheme="majorBidi"/>
          <w:sz w:val="24"/>
          <w:szCs w:val="24"/>
        </w:rPr>
        <w:t xml:space="preserve"> et al. (2021) and </w:t>
      </w:r>
      <w:proofErr w:type="spellStart"/>
      <w:r w:rsidRPr="00166541">
        <w:rPr>
          <w:rFonts w:asciiTheme="majorBidi" w:eastAsia="Times New Roman" w:hAnsiTheme="majorBidi" w:cstheme="majorBidi"/>
          <w:sz w:val="24"/>
          <w:szCs w:val="24"/>
        </w:rPr>
        <w:t>Khalfallah</w:t>
      </w:r>
      <w:proofErr w:type="spellEnd"/>
      <w:r w:rsidRPr="00166541">
        <w:rPr>
          <w:rFonts w:asciiTheme="majorBidi" w:eastAsia="Times New Roman" w:hAnsiTheme="majorBidi" w:cstheme="majorBidi"/>
          <w:sz w:val="24"/>
          <w:szCs w:val="24"/>
        </w:rPr>
        <w:t xml:space="preserve"> et al. (2025) indicated that T1DM was present in less than 10% of patients with PAD and CAD. The increased frequency of T1DM may indicate a younger patient demographic, early-onset vascular problems, or possible referral and selection biases. El-Amin et al. (2022) have shown a correlation between autoimmune or inflammatory disorders and heightened vascular risk in Type 1 Diabetes Mellitus (T1DM), indicating that comorbidities may affect diabetes su</w:t>
      </w:r>
      <w:r w:rsidR="00407DE0">
        <w:rPr>
          <w:rFonts w:asciiTheme="majorBidi" w:eastAsia="Times New Roman" w:hAnsiTheme="majorBidi" w:cstheme="majorBidi"/>
          <w:sz w:val="24"/>
          <w:szCs w:val="24"/>
        </w:rPr>
        <w:t xml:space="preserve">btypes and vascular outcomes. </w:t>
      </w:r>
    </w:p>
    <w:p w:rsidR="00407DE0" w:rsidRDefault="00166541" w:rsidP="00EF2AB6">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Upon examination of diabetes-related sequelae, including nephropathy and neuropathy, the rates were moderate and statistically insignificant among the groups (p = 0.317). Complications were </w:t>
      </w:r>
      <w:r w:rsidRPr="00166541">
        <w:rPr>
          <w:rFonts w:asciiTheme="majorBidi" w:eastAsia="Times New Roman" w:hAnsiTheme="majorBidi" w:cstheme="majorBidi"/>
          <w:sz w:val="24"/>
          <w:szCs w:val="24"/>
        </w:rPr>
        <w:lastRenderedPageBreak/>
        <w:t xml:space="preserve">observed in 17.7% of patients with CAD, 21.3% of individuals with CVD, and 17.0% of patients with PAD. The data align with El-Amin et al. (2022), who reported a 20–25% prevalence of microvascular problems in diabetic patients with subclinical cardiovascular disease. Kamal et al. (2018) highlighted the significance of poor </w:t>
      </w:r>
      <w:proofErr w:type="spellStart"/>
      <w:r w:rsidRPr="00166541">
        <w:rPr>
          <w:rFonts w:asciiTheme="majorBidi" w:eastAsia="Times New Roman" w:hAnsiTheme="majorBidi" w:cstheme="majorBidi"/>
          <w:sz w:val="24"/>
          <w:szCs w:val="24"/>
        </w:rPr>
        <w:t>glycaemic</w:t>
      </w:r>
      <w:proofErr w:type="spellEnd"/>
      <w:r w:rsidRPr="00166541">
        <w:rPr>
          <w:rFonts w:asciiTheme="majorBidi" w:eastAsia="Times New Roman" w:hAnsiTheme="majorBidi" w:cstheme="majorBidi"/>
          <w:sz w:val="24"/>
          <w:szCs w:val="24"/>
        </w:rPr>
        <w:t xml:space="preserve"> control in worsening consequences, especially in CAD patients, where an increase in </w:t>
      </w:r>
      <w:proofErr w:type="spellStart"/>
      <w:r w:rsidRPr="00166541">
        <w:rPr>
          <w:rFonts w:asciiTheme="majorBidi" w:eastAsia="Times New Roman" w:hAnsiTheme="majorBidi" w:cstheme="majorBidi"/>
          <w:sz w:val="24"/>
          <w:szCs w:val="24"/>
        </w:rPr>
        <w:t>epicardial</w:t>
      </w:r>
      <w:proofErr w:type="spellEnd"/>
      <w:r w:rsidRPr="00166541">
        <w:rPr>
          <w:rFonts w:asciiTheme="majorBidi" w:eastAsia="Times New Roman" w:hAnsiTheme="majorBidi" w:cstheme="majorBidi"/>
          <w:sz w:val="24"/>
          <w:szCs w:val="24"/>
        </w:rPr>
        <w:t xml:space="preserve"> fat thickness was noted. The marginally elevated complication incidence in CVD patients may indicate the cerebral vasculature's susceptibility to metabolic damage or a postponed diabetes diagnosis. This finding contradicts </w:t>
      </w:r>
      <w:proofErr w:type="spellStart"/>
      <w:r w:rsidRPr="00166541">
        <w:rPr>
          <w:rFonts w:asciiTheme="majorBidi" w:eastAsia="Times New Roman" w:hAnsiTheme="majorBidi" w:cstheme="majorBidi"/>
          <w:sz w:val="24"/>
          <w:szCs w:val="24"/>
        </w:rPr>
        <w:t>Laimoud</w:t>
      </w:r>
      <w:proofErr w:type="spellEnd"/>
      <w:r w:rsidRPr="00166541">
        <w:rPr>
          <w:rFonts w:asciiTheme="majorBidi" w:eastAsia="Times New Roman" w:hAnsiTheme="majorBidi" w:cstheme="majorBidi"/>
          <w:sz w:val="24"/>
          <w:szCs w:val="24"/>
        </w:rPr>
        <w:t xml:space="preserve"> et al. (2018), who reported a greater incidence of sequelae such as nephropathy and retinopathy in individuals with CAD and PAD. This may indicate either early-stage diabetes mellitus in participants or insufficient screening for end-organ damage. </w:t>
      </w:r>
      <w:r w:rsidRPr="00166541">
        <w:rPr>
          <w:rFonts w:asciiTheme="majorBidi" w:eastAsia="Times New Roman" w:hAnsiTheme="majorBidi" w:cstheme="majorBidi"/>
          <w:sz w:val="24"/>
          <w:szCs w:val="24"/>
        </w:rPr>
        <w:br/>
        <w:t>In patients with peripheral artery disease (PAD), merely 17% demonstrated additional diabetes-related problems, a figure inferior to the 26% documented by El-Amin et al. (2022) in diabetic individuals with inflammatory bowel disease and preclinical cardiovascular impairment. This may suggest early identification of PAD or underreporting of complicatio</w:t>
      </w:r>
      <w:r w:rsidR="00407DE0">
        <w:rPr>
          <w:rFonts w:asciiTheme="majorBidi" w:eastAsia="Times New Roman" w:hAnsiTheme="majorBidi" w:cstheme="majorBidi"/>
          <w:sz w:val="24"/>
          <w:szCs w:val="24"/>
        </w:rPr>
        <w:t>ns in outpatient environments.</w:t>
      </w:r>
    </w:p>
    <w:p w:rsidR="00365753" w:rsidRPr="00A67477" w:rsidRDefault="00166541" w:rsidP="00DE5A3E">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t xml:space="preserve">A positive family history of coronary artery disease (CAD) was observed in 19.6% of cases, a figure marginally lower than the 23% documented by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who concentrated on individuals fulfilling criteria for familial </w:t>
      </w:r>
      <w:proofErr w:type="spellStart"/>
      <w:r w:rsidRPr="00166541">
        <w:rPr>
          <w:rFonts w:asciiTheme="majorBidi" w:eastAsia="Times New Roman" w:hAnsiTheme="majorBidi" w:cstheme="majorBidi"/>
          <w:sz w:val="24"/>
          <w:szCs w:val="24"/>
        </w:rPr>
        <w:t>hypercholesterolaemia</w:t>
      </w:r>
      <w:proofErr w:type="spellEnd"/>
      <w:r w:rsidRPr="00166541">
        <w:rPr>
          <w:rFonts w:asciiTheme="majorBidi" w:eastAsia="Times New Roman" w:hAnsiTheme="majorBidi" w:cstheme="majorBidi"/>
          <w:sz w:val="24"/>
          <w:szCs w:val="24"/>
        </w:rPr>
        <w:t xml:space="preserve">. This slight disparity likely indicates the larger and more diverse characteristics of the current cohort, as research concentrating on early-onset or genetically susceptible populations typically reveals greater familial clustering.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similarly shown that genetic polymorphisms, including </w:t>
      </w:r>
      <w:proofErr w:type="spellStart"/>
      <w:r w:rsidRPr="00166541">
        <w:rPr>
          <w:rFonts w:asciiTheme="majorBidi" w:eastAsia="Times New Roman" w:hAnsiTheme="majorBidi" w:cstheme="majorBidi"/>
          <w:sz w:val="24"/>
          <w:szCs w:val="24"/>
        </w:rPr>
        <w:t>ApoE</w:t>
      </w:r>
      <w:proofErr w:type="spellEnd"/>
      <w:r w:rsidRPr="00166541">
        <w:rPr>
          <w:rFonts w:asciiTheme="majorBidi" w:eastAsia="Times New Roman" w:hAnsiTheme="majorBidi" w:cstheme="majorBidi"/>
          <w:sz w:val="24"/>
          <w:szCs w:val="24"/>
        </w:rPr>
        <w:t xml:space="preserve"> variations, are more prevalent in younger CAD patients with a significant family history, indicating that age and genetic profile may affect the reported prevalence. This is unexpected considering findings from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and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indicating that a positive family history markedly elevates CAD risk. The outcome may be partially attributed to underreporting resulting from inadequate family health documentation in certain places. </w:t>
      </w:r>
      <w:r w:rsidRPr="00166541">
        <w:rPr>
          <w:rFonts w:asciiTheme="majorBidi" w:eastAsia="Times New Roman" w:hAnsiTheme="majorBidi" w:cstheme="majorBidi"/>
          <w:sz w:val="24"/>
          <w:szCs w:val="24"/>
        </w:rPr>
        <w:br/>
        <w:t xml:space="preserve">In cerebrovascular disease (CVD) patients, a positive family history was noted in 17.6%, somewhat lower than the 19.6% seen in coronary artery disease (CAD) patients and less than the 23% reported by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This disparity may indicate the more complex </w:t>
      </w:r>
      <w:proofErr w:type="spellStart"/>
      <w:r w:rsidRPr="00166541">
        <w:rPr>
          <w:rFonts w:asciiTheme="majorBidi" w:eastAsia="Times New Roman" w:hAnsiTheme="majorBidi" w:cstheme="majorBidi"/>
          <w:sz w:val="24"/>
          <w:szCs w:val="24"/>
        </w:rPr>
        <w:t>aetiology</w:t>
      </w:r>
      <w:proofErr w:type="spellEnd"/>
      <w:r w:rsidRPr="00166541">
        <w:rPr>
          <w:rFonts w:asciiTheme="majorBidi" w:eastAsia="Times New Roman" w:hAnsiTheme="majorBidi" w:cstheme="majorBidi"/>
          <w:sz w:val="24"/>
          <w:szCs w:val="24"/>
        </w:rPr>
        <w:t xml:space="preserve"> of stroke, wherein conventional family history has a comparatively diminished influence relative to coronary occurrences.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w:t>
      </w:r>
      <w:proofErr w:type="spellStart"/>
      <w:r w:rsidRPr="00166541">
        <w:rPr>
          <w:rFonts w:asciiTheme="majorBidi" w:eastAsia="Times New Roman" w:hAnsiTheme="majorBidi" w:cstheme="majorBidi"/>
          <w:sz w:val="24"/>
          <w:szCs w:val="24"/>
        </w:rPr>
        <w:t>emphasised</w:t>
      </w:r>
      <w:proofErr w:type="spellEnd"/>
      <w:r w:rsidRPr="00166541">
        <w:rPr>
          <w:rFonts w:asciiTheme="majorBidi" w:eastAsia="Times New Roman" w:hAnsiTheme="majorBidi" w:cstheme="majorBidi"/>
          <w:sz w:val="24"/>
          <w:szCs w:val="24"/>
        </w:rPr>
        <w:t xml:space="preserve"> that although genetic polymorphisms like </w:t>
      </w:r>
      <w:proofErr w:type="spellStart"/>
      <w:r w:rsidRPr="00166541">
        <w:rPr>
          <w:rFonts w:asciiTheme="majorBidi" w:eastAsia="Times New Roman" w:hAnsiTheme="majorBidi" w:cstheme="majorBidi"/>
          <w:sz w:val="24"/>
          <w:szCs w:val="24"/>
        </w:rPr>
        <w:t>eNOS</w:t>
      </w:r>
      <w:proofErr w:type="spellEnd"/>
      <w:r w:rsidRPr="00166541">
        <w:rPr>
          <w:rFonts w:asciiTheme="majorBidi" w:eastAsia="Times New Roman" w:hAnsiTheme="majorBidi" w:cstheme="majorBidi"/>
          <w:sz w:val="24"/>
          <w:szCs w:val="24"/>
        </w:rPr>
        <w:t xml:space="preserve"> or </w:t>
      </w:r>
      <w:proofErr w:type="spellStart"/>
      <w:r w:rsidRPr="00166541">
        <w:rPr>
          <w:rFonts w:asciiTheme="majorBidi" w:eastAsia="Times New Roman" w:hAnsiTheme="majorBidi" w:cstheme="majorBidi"/>
          <w:sz w:val="24"/>
          <w:szCs w:val="24"/>
        </w:rPr>
        <w:t>ApoE</w:t>
      </w:r>
      <w:proofErr w:type="spellEnd"/>
      <w:r w:rsidRPr="00166541">
        <w:rPr>
          <w:rFonts w:asciiTheme="majorBidi" w:eastAsia="Times New Roman" w:hAnsiTheme="majorBidi" w:cstheme="majorBidi"/>
          <w:sz w:val="24"/>
          <w:szCs w:val="24"/>
        </w:rPr>
        <w:t xml:space="preserve"> may influence stroke vulnerability, their impacts are frequently moderated by environmental and metabolic variables. </w:t>
      </w:r>
      <w:r w:rsidRPr="00166541">
        <w:rPr>
          <w:rFonts w:asciiTheme="majorBidi" w:eastAsia="Times New Roman" w:hAnsiTheme="majorBidi" w:cstheme="majorBidi"/>
          <w:sz w:val="24"/>
          <w:szCs w:val="24"/>
        </w:rPr>
        <w:br/>
        <w:t xml:space="preserve">Likewise, 18.1% of patients with peripheral artery disease (PAD) indicated a positive family history, akin to the rates observed in both coronary artery disease (CAD) and cerebrovascular disease (CVD) cohorts (p = 0.957). This parity strengthens the common genetic predisposition that underlies all variants of atherosclerotic cardiovascular disease. According to </w:t>
      </w:r>
      <w:proofErr w:type="spellStart"/>
      <w:r w:rsidRPr="00166541">
        <w:rPr>
          <w:rFonts w:asciiTheme="majorBidi" w:eastAsia="Times New Roman" w:hAnsiTheme="majorBidi" w:cstheme="majorBidi"/>
          <w:sz w:val="24"/>
          <w:szCs w:val="24"/>
        </w:rPr>
        <w:t>Ellaien</w:t>
      </w:r>
      <w:proofErr w:type="spellEnd"/>
      <w:r w:rsidRPr="00166541">
        <w:rPr>
          <w:rFonts w:asciiTheme="majorBidi" w:eastAsia="Times New Roman" w:hAnsiTheme="majorBidi" w:cstheme="majorBidi"/>
          <w:sz w:val="24"/>
          <w:szCs w:val="24"/>
        </w:rPr>
        <w:t xml:space="preserve"> et al. (2020), family history prevalence generally varies from 18% to 23% in vascular disease populations, while </w:t>
      </w:r>
      <w:proofErr w:type="spellStart"/>
      <w:r w:rsidRPr="00166541">
        <w:rPr>
          <w:rFonts w:asciiTheme="majorBidi" w:eastAsia="Times New Roman" w:hAnsiTheme="majorBidi" w:cstheme="majorBidi"/>
          <w:sz w:val="24"/>
          <w:szCs w:val="24"/>
        </w:rPr>
        <w:t>Arafa</w:t>
      </w:r>
      <w:proofErr w:type="spellEnd"/>
      <w:r w:rsidRPr="00166541">
        <w:rPr>
          <w:rFonts w:asciiTheme="majorBidi" w:eastAsia="Times New Roman" w:hAnsiTheme="majorBidi" w:cstheme="majorBidi"/>
          <w:sz w:val="24"/>
          <w:szCs w:val="24"/>
        </w:rPr>
        <w:t xml:space="preserve"> et al. (2018) corroborated the significance of polymorphic markers in predisposing individuals to coronary and cerebrovascular atherosclerosis. </w:t>
      </w:r>
      <w:r w:rsidRPr="00166541">
        <w:rPr>
          <w:rFonts w:asciiTheme="majorBidi" w:eastAsia="Times New Roman" w:hAnsiTheme="majorBidi" w:cstheme="majorBidi"/>
          <w:sz w:val="24"/>
          <w:szCs w:val="24"/>
        </w:rPr>
        <w:br/>
        <w:t xml:space="preserve">The found familial prevalence rates among CAD, CVD, and PAD groups indicate a constant albeit mild influence of genetic variables. Although genetic predisposition plays a role in the development of vascular disease, particularly among younger individuals or those with hereditary lipid disorders, its impact may diminish in older and more diverse groups where metabolic, </w:t>
      </w:r>
      <w:proofErr w:type="spellStart"/>
      <w:r w:rsidRPr="00166541">
        <w:rPr>
          <w:rFonts w:asciiTheme="majorBidi" w:eastAsia="Times New Roman" w:hAnsiTheme="majorBidi" w:cstheme="majorBidi"/>
          <w:sz w:val="24"/>
          <w:szCs w:val="24"/>
        </w:rPr>
        <w:t>behavioural</w:t>
      </w:r>
      <w:proofErr w:type="spellEnd"/>
      <w:r w:rsidRPr="00166541">
        <w:rPr>
          <w:rFonts w:asciiTheme="majorBidi" w:eastAsia="Times New Roman" w:hAnsiTheme="majorBidi" w:cstheme="majorBidi"/>
          <w:sz w:val="24"/>
          <w:szCs w:val="24"/>
        </w:rPr>
        <w:t>, and environmental factors predominantly in</w:t>
      </w:r>
      <w:r w:rsidR="00365753" w:rsidRPr="00A67477">
        <w:rPr>
          <w:rFonts w:asciiTheme="majorBidi" w:eastAsia="Times New Roman" w:hAnsiTheme="majorBidi" w:cstheme="majorBidi"/>
          <w:sz w:val="24"/>
          <w:szCs w:val="24"/>
        </w:rPr>
        <w:t xml:space="preserve">fluence disease manifestation. </w:t>
      </w:r>
    </w:p>
    <w:p w:rsidR="00166541" w:rsidRPr="00A67477" w:rsidRDefault="00365753" w:rsidP="00A67477">
      <w:pPr>
        <w:spacing w:before="240" w:after="0" w:line="240" w:lineRule="auto"/>
        <w:jc w:val="lowKashida"/>
        <w:rPr>
          <w:rFonts w:asciiTheme="majorBidi" w:eastAsia="Times New Roman" w:hAnsiTheme="majorBidi" w:cstheme="majorBidi"/>
          <w:b/>
          <w:bCs/>
          <w:sz w:val="24"/>
          <w:szCs w:val="24"/>
        </w:rPr>
      </w:pPr>
      <w:r w:rsidRPr="00A67477">
        <w:rPr>
          <w:rFonts w:asciiTheme="majorBidi" w:eastAsia="Times New Roman" w:hAnsiTheme="majorBidi" w:cstheme="majorBidi"/>
          <w:b/>
          <w:bCs/>
          <w:sz w:val="24"/>
          <w:szCs w:val="24"/>
        </w:rPr>
        <w:t>Conclusion</w:t>
      </w:r>
    </w:p>
    <w:p w:rsidR="00166541" w:rsidRPr="00166541" w:rsidRDefault="00166541" w:rsidP="00A67477">
      <w:pPr>
        <w:spacing w:before="240" w:after="0" w:line="240" w:lineRule="auto"/>
        <w:jc w:val="lowKashida"/>
        <w:rPr>
          <w:rFonts w:asciiTheme="majorBidi" w:eastAsia="Times New Roman" w:hAnsiTheme="majorBidi" w:cstheme="majorBidi"/>
          <w:sz w:val="24"/>
          <w:szCs w:val="24"/>
        </w:rPr>
      </w:pPr>
      <w:r w:rsidRPr="00166541">
        <w:rPr>
          <w:rFonts w:asciiTheme="majorBidi" w:eastAsia="Times New Roman" w:hAnsiTheme="majorBidi" w:cstheme="majorBidi"/>
          <w:sz w:val="24"/>
          <w:szCs w:val="24"/>
        </w:rPr>
        <w:lastRenderedPageBreak/>
        <w:t xml:space="preserve">This study </w:t>
      </w:r>
      <w:proofErr w:type="spellStart"/>
      <w:r w:rsidRPr="00166541">
        <w:rPr>
          <w:rFonts w:asciiTheme="majorBidi" w:eastAsia="Times New Roman" w:hAnsiTheme="majorBidi" w:cstheme="majorBidi"/>
          <w:sz w:val="24"/>
          <w:szCs w:val="24"/>
        </w:rPr>
        <w:t>emphasises</w:t>
      </w:r>
      <w:proofErr w:type="spellEnd"/>
      <w:r w:rsidRPr="00166541">
        <w:rPr>
          <w:rFonts w:asciiTheme="majorBidi" w:eastAsia="Times New Roman" w:hAnsiTheme="majorBidi" w:cstheme="majorBidi"/>
          <w:sz w:val="24"/>
          <w:szCs w:val="24"/>
        </w:rPr>
        <w:t xml:space="preserve"> the significant burden and interrelated characteristics of atherosclerotic cardiovascular diseases—coronary artery disease, cerebrovascular disease, and peripheral artery disease—among the study participants. Notwithstanding varied clinical presentations, the three groups exhibited very analogous profiles for demographic data, cardiovascular risk factors, and laboratory markers. Prevalent modifiable risk factors, including hypertension, diabetes, smoking, and </w:t>
      </w:r>
      <w:proofErr w:type="spellStart"/>
      <w:r w:rsidRPr="00166541">
        <w:rPr>
          <w:rFonts w:asciiTheme="majorBidi" w:eastAsia="Times New Roman" w:hAnsiTheme="majorBidi" w:cstheme="majorBidi"/>
          <w:sz w:val="24"/>
          <w:szCs w:val="24"/>
        </w:rPr>
        <w:t>dyslipidaemia</w:t>
      </w:r>
      <w:proofErr w:type="spellEnd"/>
      <w:r w:rsidRPr="00166541">
        <w:rPr>
          <w:rFonts w:asciiTheme="majorBidi" w:eastAsia="Times New Roman" w:hAnsiTheme="majorBidi" w:cstheme="majorBidi"/>
          <w:sz w:val="24"/>
          <w:szCs w:val="24"/>
        </w:rPr>
        <w:t>, were observed across all groups, highlighting the systemic effects of atherosclerosis and the necessity for cohesive, risk-oriented prevention and management approaches. The significant comorbidity of illness types underscores the necessity for coordinated screening and early management to mitigate morbidity and mortality.</w:t>
      </w:r>
    </w:p>
    <w:p w:rsidR="00166541" w:rsidRDefault="00E84CC0" w:rsidP="00A67477">
      <w:pPr>
        <w:spacing w:before="240" w:line="240" w:lineRule="auto"/>
        <w:jc w:val="lowKashida"/>
        <w:rPr>
          <w:rFonts w:asciiTheme="majorBidi" w:hAnsiTheme="majorBidi" w:cstheme="majorBidi"/>
          <w:b/>
          <w:bCs/>
          <w:sz w:val="24"/>
          <w:szCs w:val="24"/>
          <w:lang w:bidi="ar-EG"/>
        </w:rPr>
      </w:pPr>
      <w:r w:rsidRPr="00E84CC0">
        <w:rPr>
          <w:rFonts w:asciiTheme="majorBidi" w:hAnsiTheme="majorBidi" w:cstheme="majorBidi"/>
          <w:b/>
          <w:bCs/>
          <w:sz w:val="24"/>
          <w:szCs w:val="24"/>
          <w:lang w:bidi="ar-EG"/>
        </w:rPr>
        <w:t xml:space="preserve">References </w:t>
      </w:r>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Abd</w:t>
      </w:r>
      <w:proofErr w:type="spellEnd"/>
      <w:r w:rsidRPr="00365541">
        <w:rPr>
          <w:rFonts w:asciiTheme="majorBidi" w:hAnsiTheme="majorBidi" w:cstheme="majorBidi"/>
          <w:color w:val="222222"/>
          <w:sz w:val="24"/>
          <w:szCs w:val="24"/>
          <w:shd w:val="clear" w:color="auto" w:fill="FFFFFF"/>
        </w:rPr>
        <w:t xml:space="preserve"> El-</w:t>
      </w:r>
      <w:proofErr w:type="spellStart"/>
      <w:r w:rsidRPr="00365541">
        <w:rPr>
          <w:rFonts w:asciiTheme="majorBidi" w:hAnsiTheme="majorBidi" w:cstheme="majorBidi"/>
          <w:color w:val="222222"/>
          <w:sz w:val="24"/>
          <w:szCs w:val="24"/>
          <w:shd w:val="clear" w:color="auto" w:fill="FFFFFF"/>
        </w:rPr>
        <w:t>Gawad</w:t>
      </w:r>
      <w:proofErr w:type="spellEnd"/>
      <w:r w:rsidRPr="00365541">
        <w:rPr>
          <w:rFonts w:asciiTheme="majorBidi" w:hAnsiTheme="majorBidi" w:cstheme="majorBidi"/>
          <w:color w:val="222222"/>
          <w:sz w:val="24"/>
          <w:szCs w:val="24"/>
          <w:shd w:val="clear" w:color="auto" w:fill="FFFFFF"/>
        </w:rPr>
        <w:t>, H. N., El-Baz, M., El-</w:t>
      </w:r>
      <w:proofErr w:type="spellStart"/>
      <w:r w:rsidRPr="00365541">
        <w:rPr>
          <w:rFonts w:asciiTheme="majorBidi" w:hAnsiTheme="majorBidi" w:cstheme="majorBidi"/>
          <w:color w:val="222222"/>
          <w:sz w:val="24"/>
          <w:szCs w:val="24"/>
          <w:shd w:val="clear" w:color="auto" w:fill="FFFFFF"/>
        </w:rPr>
        <w:t>Deeb</w:t>
      </w:r>
      <w:proofErr w:type="spellEnd"/>
      <w:r w:rsidRPr="00365541">
        <w:rPr>
          <w:rFonts w:asciiTheme="majorBidi" w:hAnsiTheme="majorBidi" w:cstheme="majorBidi"/>
          <w:color w:val="222222"/>
          <w:sz w:val="24"/>
          <w:szCs w:val="24"/>
          <w:shd w:val="clear" w:color="auto" w:fill="FFFFFF"/>
        </w:rPr>
        <w:t>, A. F., &amp; El-</w:t>
      </w:r>
      <w:proofErr w:type="spellStart"/>
      <w:r w:rsidRPr="00365541">
        <w:rPr>
          <w:rFonts w:asciiTheme="majorBidi" w:hAnsiTheme="majorBidi" w:cstheme="majorBidi"/>
          <w:color w:val="222222"/>
          <w:sz w:val="24"/>
          <w:szCs w:val="24"/>
          <w:shd w:val="clear" w:color="auto" w:fill="FFFFFF"/>
        </w:rPr>
        <w:t>Shenawy</w:t>
      </w:r>
      <w:proofErr w:type="spellEnd"/>
      <w:r w:rsidRPr="00365541">
        <w:rPr>
          <w:rFonts w:asciiTheme="majorBidi" w:hAnsiTheme="majorBidi" w:cstheme="majorBidi"/>
          <w:color w:val="222222"/>
          <w:sz w:val="24"/>
          <w:szCs w:val="24"/>
          <w:shd w:val="clear" w:color="auto" w:fill="FFFFFF"/>
        </w:rPr>
        <w:t>, S. I. (2022). Risk factors profile of coronary artery disease among medical students at Al-</w:t>
      </w:r>
      <w:proofErr w:type="spellStart"/>
      <w:r w:rsidRPr="00365541">
        <w:rPr>
          <w:rFonts w:asciiTheme="majorBidi" w:hAnsiTheme="majorBidi" w:cstheme="majorBidi"/>
          <w:color w:val="222222"/>
          <w:sz w:val="24"/>
          <w:szCs w:val="24"/>
          <w:shd w:val="clear" w:color="auto" w:fill="FFFFFF"/>
        </w:rPr>
        <w:t>Azhar</w:t>
      </w:r>
      <w:proofErr w:type="spellEnd"/>
      <w:r w:rsidRPr="00365541">
        <w:rPr>
          <w:rFonts w:asciiTheme="majorBidi" w:hAnsiTheme="majorBidi" w:cstheme="majorBidi"/>
          <w:color w:val="222222"/>
          <w:sz w:val="24"/>
          <w:szCs w:val="24"/>
          <w:shd w:val="clear" w:color="auto" w:fill="FFFFFF"/>
        </w:rPr>
        <w:t xml:space="preserve"> University, Cairo. </w:t>
      </w:r>
      <w:r w:rsidRPr="00365541">
        <w:rPr>
          <w:rFonts w:asciiTheme="majorBidi" w:hAnsiTheme="majorBidi" w:cstheme="majorBidi"/>
          <w:i/>
          <w:iCs/>
          <w:color w:val="222222"/>
          <w:sz w:val="24"/>
          <w:szCs w:val="24"/>
          <w:shd w:val="clear" w:color="auto" w:fill="FFFFFF"/>
        </w:rPr>
        <w:t>Journal of Recent Advances in Medicine</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3</w:t>
      </w:r>
      <w:r w:rsidRPr="00365541">
        <w:rPr>
          <w:rFonts w:asciiTheme="majorBidi" w:hAnsiTheme="majorBidi" w:cstheme="majorBidi"/>
          <w:color w:val="222222"/>
          <w:sz w:val="24"/>
          <w:szCs w:val="24"/>
          <w:shd w:val="clear" w:color="auto" w:fill="FFFFFF"/>
        </w:rPr>
        <w:t>(2), 119-</w:t>
      </w:r>
      <w:proofErr w:type="gramStart"/>
      <w:r w:rsidRPr="00365541">
        <w:rPr>
          <w:rFonts w:asciiTheme="majorBidi" w:hAnsiTheme="majorBidi" w:cstheme="majorBidi"/>
          <w:color w:val="222222"/>
          <w:sz w:val="24"/>
          <w:szCs w:val="24"/>
          <w:shd w:val="clear" w:color="auto" w:fill="FFFFFF"/>
        </w:rPr>
        <w:t>130.</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sz w:val="24"/>
          <w:szCs w:val="24"/>
        </w:rPr>
      </w:pPr>
      <w:proofErr w:type="spellStart"/>
      <w:r w:rsidRPr="00365541">
        <w:rPr>
          <w:rFonts w:asciiTheme="majorBidi" w:hAnsiTheme="majorBidi" w:cstheme="majorBidi"/>
          <w:sz w:val="24"/>
          <w:szCs w:val="24"/>
        </w:rPr>
        <w:t>Adhikary</w:t>
      </w:r>
      <w:proofErr w:type="spellEnd"/>
      <w:r w:rsidRPr="00365541">
        <w:rPr>
          <w:rFonts w:asciiTheme="majorBidi" w:hAnsiTheme="majorBidi" w:cstheme="majorBidi"/>
          <w:sz w:val="24"/>
          <w:szCs w:val="24"/>
        </w:rPr>
        <w:t xml:space="preserve">, D., Barman, S., </w:t>
      </w:r>
      <w:proofErr w:type="spellStart"/>
      <w:r w:rsidRPr="00365541">
        <w:rPr>
          <w:rFonts w:asciiTheme="majorBidi" w:hAnsiTheme="majorBidi" w:cstheme="majorBidi"/>
          <w:sz w:val="24"/>
          <w:szCs w:val="24"/>
        </w:rPr>
        <w:t>Ranjan</w:t>
      </w:r>
      <w:proofErr w:type="spellEnd"/>
      <w:r w:rsidRPr="00365541">
        <w:rPr>
          <w:rFonts w:asciiTheme="majorBidi" w:hAnsiTheme="majorBidi" w:cstheme="majorBidi"/>
          <w:sz w:val="24"/>
          <w:szCs w:val="24"/>
        </w:rPr>
        <w:t xml:space="preserve">, R., &amp; Stone, H. (2022). A systematic review of major cardiovascular risk factors: a growing global health concern. </w:t>
      </w:r>
      <w:proofErr w:type="spellStart"/>
      <w:r w:rsidRPr="00365541">
        <w:rPr>
          <w:rFonts w:asciiTheme="majorBidi" w:hAnsiTheme="majorBidi" w:cstheme="majorBidi"/>
          <w:sz w:val="24"/>
          <w:szCs w:val="24"/>
        </w:rPr>
        <w:t>Cureus</w:t>
      </w:r>
      <w:proofErr w:type="spellEnd"/>
      <w:r w:rsidRPr="00365541">
        <w:rPr>
          <w:rFonts w:asciiTheme="majorBidi" w:hAnsiTheme="majorBidi" w:cstheme="majorBidi"/>
          <w:sz w:val="24"/>
          <w:szCs w:val="24"/>
        </w:rPr>
        <w:t>, 14(10</w:t>
      </w:r>
      <w:proofErr w:type="gramStart"/>
      <w:r w:rsidRPr="00365541">
        <w:rPr>
          <w:rFonts w:asciiTheme="majorBidi" w:hAnsiTheme="majorBidi" w:cstheme="majorBidi"/>
          <w:sz w:val="24"/>
          <w:szCs w:val="24"/>
        </w:rPr>
        <w:t>).</w:t>
      </w:r>
      <w:r w:rsidRPr="00365541">
        <w:rPr>
          <w:rFonts w:asciiTheme="majorBidi" w:hAnsiTheme="majorBidi" w:cstheme="majorBidi"/>
          <w:sz w:val="24"/>
          <w:szCs w:val="24"/>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Arafa</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Abdelsalam</w:t>
      </w:r>
      <w:proofErr w:type="spellEnd"/>
      <w:r w:rsidRPr="00365541">
        <w:rPr>
          <w:rFonts w:asciiTheme="majorBidi" w:hAnsiTheme="majorBidi" w:cstheme="majorBidi"/>
          <w:color w:val="222222"/>
          <w:sz w:val="24"/>
          <w:szCs w:val="24"/>
          <w:shd w:val="clear" w:color="auto" w:fill="FFFFFF"/>
        </w:rPr>
        <w:t>, S., El-</w:t>
      </w:r>
      <w:proofErr w:type="spellStart"/>
      <w:r w:rsidRPr="00365541">
        <w:rPr>
          <w:rFonts w:asciiTheme="majorBidi" w:hAnsiTheme="majorBidi" w:cstheme="majorBidi"/>
          <w:color w:val="222222"/>
          <w:sz w:val="24"/>
          <w:szCs w:val="24"/>
          <w:shd w:val="clear" w:color="auto" w:fill="FFFFFF"/>
        </w:rPr>
        <w:t>Gilany</w:t>
      </w:r>
      <w:proofErr w:type="spellEnd"/>
      <w:r w:rsidRPr="00365541">
        <w:rPr>
          <w:rFonts w:asciiTheme="majorBidi" w:hAnsiTheme="majorBidi" w:cstheme="majorBidi"/>
          <w:color w:val="222222"/>
          <w:sz w:val="24"/>
          <w:szCs w:val="24"/>
          <w:shd w:val="clear" w:color="auto" w:fill="FFFFFF"/>
        </w:rPr>
        <w:t xml:space="preserve">, A. H., </w:t>
      </w:r>
      <w:proofErr w:type="spellStart"/>
      <w:r w:rsidRPr="00365541">
        <w:rPr>
          <w:rFonts w:asciiTheme="majorBidi" w:hAnsiTheme="majorBidi" w:cstheme="majorBidi"/>
          <w:color w:val="222222"/>
          <w:sz w:val="24"/>
          <w:szCs w:val="24"/>
          <w:shd w:val="clear" w:color="auto" w:fill="FFFFFF"/>
        </w:rPr>
        <w:t>Mosaad</w:t>
      </w:r>
      <w:proofErr w:type="spellEnd"/>
      <w:r w:rsidRPr="00365541">
        <w:rPr>
          <w:rFonts w:asciiTheme="majorBidi" w:hAnsiTheme="majorBidi" w:cstheme="majorBidi"/>
          <w:color w:val="222222"/>
          <w:sz w:val="24"/>
          <w:szCs w:val="24"/>
          <w:shd w:val="clear" w:color="auto" w:fill="FFFFFF"/>
        </w:rPr>
        <w:t>, Y. M., &amp; Abdel-</w:t>
      </w:r>
      <w:proofErr w:type="spellStart"/>
      <w:r w:rsidRPr="00365541">
        <w:rPr>
          <w:rFonts w:asciiTheme="majorBidi" w:hAnsiTheme="majorBidi" w:cstheme="majorBidi"/>
          <w:color w:val="222222"/>
          <w:sz w:val="24"/>
          <w:szCs w:val="24"/>
          <w:shd w:val="clear" w:color="auto" w:fill="FFFFFF"/>
        </w:rPr>
        <w:t>Ghaffar</w:t>
      </w:r>
      <w:proofErr w:type="spellEnd"/>
      <w:r w:rsidRPr="00365541">
        <w:rPr>
          <w:rFonts w:asciiTheme="majorBidi" w:hAnsiTheme="majorBidi" w:cstheme="majorBidi"/>
          <w:color w:val="222222"/>
          <w:sz w:val="24"/>
          <w:szCs w:val="24"/>
          <w:shd w:val="clear" w:color="auto" w:fill="FFFFFF"/>
        </w:rPr>
        <w:t xml:space="preserve">, A. (2018). Endothelial nitric oxide synthase </w:t>
      </w:r>
      <w:proofErr w:type="spellStart"/>
      <w:r w:rsidRPr="00365541">
        <w:rPr>
          <w:rFonts w:asciiTheme="majorBidi" w:hAnsiTheme="majorBidi" w:cstheme="majorBidi"/>
          <w:color w:val="222222"/>
          <w:sz w:val="24"/>
          <w:szCs w:val="24"/>
          <w:shd w:val="clear" w:color="auto" w:fill="FFFFFF"/>
        </w:rPr>
        <w:t>Glu</w:t>
      </w:r>
      <w:proofErr w:type="spellEnd"/>
      <w:r w:rsidRPr="00365541">
        <w:rPr>
          <w:rFonts w:asciiTheme="majorBidi" w:hAnsiTheme="majorBidi" w:cstheme="majorBidi"/>
          <w:color w:val="222222"/>
          <w:sz w:val="24"/>
          <w:szCs w:val="24"/>
          <w:shd w:val="clear" w:color="auto" w:fill="FFFFFF"/>
        </w:rPr>
        <w:t xml:space="preserve"> 298 Asp (G894T) and </w:t>
      </w:r>
      <w:proofErr w:type="spellStart"/>
      <w:r w:rsidRPr="00365541">
        <w:rPr>
          <w:rFonts w:asciiTheme="majorBidi" w:hAnsiTheme="majorBidi" w:cstheme="majorBidi"/>
          <w:color w:val="222222"/>
          <w:sz w:val="24"/>
          <w:szCs w:val="24"/>
          <w:shd w:val="clear" w:color="auto" w:fill="FFFFFF"/>
        </w:rPr>
        <w:t>Apolipoprotein</w:t>
      </w:r>
      <w:proofErr w:type="spellEnd"/>
      <w:r w:rsidRPr="00365541">
        <w:rPr>
          <w:rFonts w:asciiTheme="majorBidi" w:hAnsiTheme="majorBidi" w:cstheme="majorBidi"/>
          <w:color w:val="222222"/>
          <w:sz w:val="24"/>
          <w:szCs w:val="24"/>
          <w:shd w:val="clear" w:color="auto" w:fill="FFFFFF"/>
        </w:rPr>
        <w:t xml:space="preserve"> E gene polymorphism as possible risk factors for coronary heart disease among Egyptians. </w:t>
      </w:r>
      <w:r w:rsidRPr="00365541">
        <w:rPr>
          <w:rFonts w:asciiTheme="majorBidi" w:hAnsiTheme="majorBidi" w:cstheme="majorBidi"/>
          <w:i/>
          <w:iCs/>
          <w:color w:val="222222"/>
          <w:sz w:val="24"/>
          <w:szCs w:val="24"/>
          <w:shd w:val="clear" w:color="auto" w:fill="FFFFFF"/>
        </w:rPr>
        <w:t>The Egyptian Heart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70</w:t>
      </w:r>
      <w:r w:rsidRPr="00365541">
        <w:rPr>
          <w:rFonts w:asciiTheme="majorBidi" w:hAnsiTheme="majorBidi" w:cstheme="majorBidi"/>
          <w:color w:val="222222"/>
          <w:sz w:val="24"/>
          <w:szCs w:val="24"/>
          <w:shd w:val="clear" w:color="auto" w:fill="FFFFFF"/>
        </w:rPr>
        <w:t>(4), 393-</w:t>
      </w:r>
      <w:proofErr w:type="gramStart"/>
      <w:r w:rsidRPr="00365541">
        <w:rPr>
          <w:rFonts w:asciiTheme="majorBidi" w:hAnsiTheme="majorBidi" w:cstheme="majorBidi"/>
          <w:color w:val="222222"/>
          <w:sz w:val="24"/>
          <w:szCs w:val="24"/>
          <w:shd w:val="clear" w:color="auto" w:fill="FFFFFF"/>
        </w:rPr>
        <w:t>401.</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Assem</w:t>
      </w:r>
      <w:proofErr w:type="spellEnd"/>
      <w:r w:rsidRPr="00365541">
        <w:rPr>
          <w:rFonts w:asciiTheme="majorBidi" w:hAnsiTheme="majorBidi" w:cstheme="majorBidi"/>
          <w:color w:val="222222"/>
          <w:sz w:val="24"/>
          <w:szCs w:val="24"/>
          <w:shd w:val="clear" w:color="auto" w:fill="FFFFFF"/>
        </w:rPr>
        <w:t xml:space="preserve">, M., </w:t>
      </w:r>
      <w:proofErr w:type="spellStart"/>
      <w:r w:rsidRPr="00365541">
        <w:rPr>
          <w:rFonts w:asciiTheme="majorBidi" w:hAnsiTheme="majorBidi" w:cstheme="majorBidi"/>
          <w:color w:val="222222"/>
          <w:sz w:val="24"/>
          <w:szCs w:val="24"/>
          <w:shd w:val="clear" w:color="auto" w:fill="FFFFFF"/>
        </w:rPr>
        <w:t>Mousa</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Abdelhamid</w:t>
      </w:r>
      <w:proofErr w:type="spellEnd"/>
      <w:r w:rsidRPr="00365541">
        <w:rPr>
          <w:rFonts w:asciiTheme="majorBidi" w:hAnsiTheme="majorBidi" w:cstheme="majorBidi"/>
          <w:color w:val="222222"/>
          <w:sz w:val="24"/>
          <w:szCs w:val="24"/>
          <w:shd w:val="clear" w:color="auto" w:fill="FFFFFF"/>
        </w:rPr>
        <w:t xml:space="preserve">, A., Amin, S., </w:t>
      </w:r>
      <w:proofErr w:type="spellStart"/>
      <w:r w:rsidRPr="00365541">
        <w:rPr>
          <w:rFonts w:asciiTheme="majorBidi" w:hAnsiTheme="majorBidi" w:cstheme="majorBidi"/>
          <w:color w:val="222222"/>
          <w:sz w:val="24"/>
          <w:szCs w:val="24"/>
          <w:shd w:val="clear" w:color="auto" w:fill="FFFFFF"/>
        </w:rPr>
        <w:t>Elsamadony</w:t>
      </w:r>
      <w:proofErr w:type="spellEnd"/>
      <w:r w:rsidRPr="00365541">
        <w:rPr>
          <w:rFonts w:asciiTheme="majorBidi" w:hAnsiTheme="majorBidi" w:cstheme="majorBidi"/>
          <w:color w:val="222222"/>
          <w:sz w:val="24"/>
          <w:szCs w:val="24"/>
          <w:shd w:val="clear" w:color="auto" w:fill="FFFFFF"/>
        </w:rPr>
        <w:t>, A., El-</w:t>
      </w:r>
      <w:proofErr w:type="spellStart"/>
      <w:r w:rsidRPr="00365541">
        <w:rPr>
          <w:rFonts w:asciiTheme="majorBidi" w:hAnsiTheme="majorBidi" w:cstheme="majorBidi"/>
          <w:color w:val="222222"/>
          <w:sz w:val="24"/>
          <w:szCs w:val="24"/>
          <w:shd w:val="clear" w:color="auto" w:fill="FFFFFF"/>
        </w:rPr>
        <w:t>Sebaee</w:t>
      </w:r>
      <w:proofErr w:type="spellEnd"/>
      <w:r w:rsidRPr="00365541">
        <w:rPr>
          <w:rFonts w:asciiTheme="majorBidi" w:hAnsiTheme="majorBidi" w:cstheme="majorBidi"/>
          <w:color w:val="222222"/>
          <w:sz w:val="24"/>
          <w:szCs w:val="24"/>
          <w:shd w:val="clear" w:color="auto" w:fill="FFFFFF"/>
        </w:rPr>
        <w:t xml:space="preserve">, E., ... &amp; </w:t>
      </w:r>
      <w:proofErr w:type="spellStart"/>
      <w:r w:rsidRPr="00365541">
        <w:rPr>
          <w:rFonts w:asciiTheme="majorBidi" w:hAnsiTheme="majorBidi" w:cstheme="majorBidi"/>
          <w:color w:val="222222"/>
          <w:sz w:val="24"/>
          <w:szCs w:val="24"/>
          <w:shd w:val="clear" w:color="auto" w:fill="FFFFFF"/>
        </w:rPr>
        <w:t>Elsawy</w:t>
      </w:r>
      <w:proofErr w:type="spellEnd"/>
      <w:r w:rsidRPr="00365541">
        <w:rPr>
          <w:rFonts w:asciiTheme="majorBidi" w:hAnsiTheme="majorBidi" w:cstheme="majorBidi"/>
          <w:color w:val="222222"/>
          <w:sz w:val="24"/>
          <w:szCs w:val="24"/>
          <w:shd w:val="clear" w:color="auto" w:fill="FFFFFF"/>
        </w:rPr>
        <w:t xml:space="preserve">, S. (2021). The risk of micro and </w:t>
      </w:r>
      <w:proofErr w:type="spellStart"/>
      <w:r w:rsidRPr="00365541">
        <w:rPr>
          <w:rFonts w:asciiTheme="majorBidi" w:hAnsiTheme="majorBidi" w:cstheme="majorBidi"/>
          <w:color w:val="222222"/>
          <w:sz w:val="24"/>
          <w:szCs w:val="24"/>
          <w:shd w:val="clear" w:color="auto" w:fill="FFFFFF"/>
        </w:rPr>
        <w:t>macrovascular</w:t>
      </w:r>
      <w:proofErr w:type="spellEnd"/>
      <w:r w:rsidRPr="00365541">
        <w:rPr>
          <w:rFonts w:asciiTheme="majorBidi" w:hAnsiTheme="majorBidi" w:cstheme="majorBidi"/>
          <w:color w:val="222222"/>
          <w:sz w:val="24"/>
          <w:szCs w:val="24"/>
          <w:shd w:val="clear" w:color="auto" w:fill="FFFFFF"/>
        </w:rPr>
        <w:t xml:space="preserve"> disease in Egyptian patients with diabetes and peripheral arterial disease. </w:t>
      </w:r>
      <w:r w:rsidRPr="00365541">
        <w:rPr>
          <w:rFonts w:asciiTheme="majorBidi" w:hAnsiTheme="majorBidi" w:cstheme="majorBidi"/>
          <w:i/>
          <w:iCs/>
          <w:color w:val="222222"/>
          <w:sz w:val="24"/>
          <w:szCs w:val="24"/>
          <w:shd w:val="clear" w:color="auto" w:fill="FFFFFF"/>
        </w:rPr>
        <w:t>Journal of Community Hospital Internal Medicine Perspectives</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11</w:t>
      </w:r>
      <w:r w:rsidRPr="00365541">
        <w:rPr>
          <w:rFonts w:asciiTheme="majorBidi" w:hAnsiTheme="majorBidi" w:cstheme="majorBidi"/>
          <w:color w:val="222222"/>
          <w:sz w:val="24"/>
          <w:szCs w:val="24"/>
          <w:shd w:val="clear" w:color="auto" w:fill="FFFFFF"/>
        </w:rPr>
        <w:t>(2), 216-</w:t>
      </w:r>
      <w:proofErr w:type="gramStart"/>
      <w:r w:rsidRPr="00365541">
        <w:rPr>
          <w:rFonts w:asciiTheme="majorBidi" w:hAnsiTheme="majorBidi" w:cstheme="majorBidi"/>
          <w:color w:val="222222"/>
          <w:sz w:val="24"/>
          <w:szCs w:val="24"/>
          <w:shd w:val="clear" w:color="auto" w:fill="FFFFFF"/>
        </w:rPr>
        <w:t>219.</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sz w:val="24"/>
          <w:szCs w:val="24"/>
        </w:rPr>
      </w:pPr>
      <w:proofErr w:type="spellStart"/>
      <w:r w:rsidRPr="00365541">
        <w:rPr>
          <w:rFonts w:asciiTheme="majorBidi" w:hAnsiTheme="majorBidi" w:cstheme="majorBidi"/>
          <w:sz w:val="24"/>
          <w:szCs w:val="24"/>
        </w:rPr>
        <w:t>Azab</w:t>
      </w:r>
      <w:proofErr w:type="spellEnd"/>
      <w:r w:rsidRPr="00365541">
        <w:rPr>
          <w:rFonts w:asciiTheme="majorBidi" w:hAnsiTheme="majorBidi" w:cstheme="majorBidi"/>
          <w:sz w:val="24"/>
          <w:szCs w:val="24"/>
        </w:rPr>
        <w:t>, M., Al-</w:t>
      </w:r>
      <w:proofErr w:type="spellStart"/>
      <w:r w:rsidRPr="00365541">
        <w:rPr>
          <w:rFonts w:asciiTheme="majorBidi" w:hAnsiTheme="majorBidi" w:cstheme="majorBidi"/>
          <w:sz w:val="24"/>
          <w:szCs w:val="24"/>
        </w:rPr>
        <w:t>Shudifat</w:t>
      </w:r>
      <w:proofErr w:type="spellEnd"/>
      <w:r w:rsidRPr="00365541">
        <w:rPr>
          <w:rFonts w:asciiTheme="majorBidi" w:hAnsiTheme="majorBidi" w:cstheme="majorBidi"/>
          <w:sz w:val="24"/>
          <w:szCs w:val="24"/>
        </w:rPr>
        <w:t xml:space="preserve">, A. E., </w:t>
      </w:r>
      <w:proofErr w:type="spellStart"/>
      <w:r w:rsidRPr="00365541">
        <w:rPr>
          <w:rFonts w:asciiTheme="majorBidi" w:hAnsiTheme="majorBidi" w:cstheme="majorBidi"/>
          <w:sz w:val="24"/>
          <w:szCs w:val="24"/>
        </w:rPr>
        <w:t>Johannessen</w:t>
      </w:r>
      <w:proofErr w:type="spellEnd"/>
      <w:r w:rsidRPr="00365541">
        <w:rPr>
          <w:rFonts w:asciiTheme="majorBidi" w:hAnsiTheme="majorBidi" w:cstheme="majorBidi"/>
          <w:sz w:val="24"/>
          <w:szCs w:val="24"/>
        </w:rPr>
        <w:t>, A., Al-</w:t>
      </w:r>
      <w:proofErr w:type="spellStart"/>
      <w:r w:rsidRPr="00365541">
        <w:rPr>
          <w:rFonts w:asciiTheme="majorBidi" w:hAnsiTheme="majorBidi" w:cstheme="majorBidi"/>
          <w:sz w:val="24"/>
          <w:szCs w:val="24"/>
        </w:rPr>
        <w:t>Shdaifat</w:t>
      </w:r>
      <w:proofErr w:type="spellEnd"/>
      <w:r w:rsidRPr="00365541">
        <w:rPr>
          <w:rFonts w:asciiTheme="majorBidi" w:hAnsiTheme="majorBidi" w:cstheme="majorBidi"/>
          <w:sz w:val="24"/>
          <w:szCs w:val="24"/>
        </w:rPr>
        <w:t xml:space="preserve">, A., </w:t>
      </w:r>
      <w:proofErr w:type="spellStart"/>
      <w:r w:rsidRPr="00365541">
        <w:rPr>
          <w:rFonts w:asciiTheme="majorBidi" w:hAnsiTheme="majorBidi" w:cstheme="majorBidi"/>
          <w:sz w:val="24"/>
          <w:szCs w:val="24"/>
        </w:rPr>
        <w:t>Agraib</w:t>
      </w:r>
      <w:proofErr w:type="spellEnd"/>
      <w:r w:rsidRPr="00365541">
        <w:rPr>
          <w:rFonts w:asciiTheme="majorBidi" w:hAnsiTheme="majorBidi" w:cstheme="majorBidi"/>
          <w:sz w:val="24"/>
          <w:szCs w:val="24"/>
        </w:rPr>
        <w:t xml:space="preserve">, L. M., &amp; </w:t>
      </w:r>
      <w:proofErr w:type="spellStart"/>
      <w:r w:rsidRPr="00365541">
        <w:rPr>
          <w:rFonts w:asciiTheme="majorBidi" w:hAnsiTheme="majorBidi" w:cstheme="majorBidi"/>
          <w:sz w:val="24"/>
          <w:szCs w:val="24"/>
        </w:rPr>
        <w:t>Tayyem</w:t>
      </w:r>
      <w:proofErr w:type="spellEnd"/>
      <w:r w:rsidRPr="00365541">
        <w:rPr>
          <w:rFonts w:asciiTheme="majorBidi" w:hAnsiTheme="majorBidi" w:cstheme="majorBidi"/>
          <w:sz w:val="24"/>
          <w:szCs w:val="24"/>
        </w:rPr>
        <w:t xml:space="preserve">, R. F. (2018). Are risk factors for coronary artery disease different in persons with and without </w:t>
      </w:r>
      <w:proofErr w:type="gramStart"/>
      <w:r w:rsidRPr="00365541">
        <w:rPr>
          <w:rFonts w:asciiTheme="majorBidi" w:hAnsiTheme="majorBidi" w:cstheme="majorBidi"/>
          <w:sz w:val="24"/>
          <w:szCs w:val="24"/>
        </w:rPr>
        <w:t>obesity?.</w:t>
      </w:r>
      <w:proofErr w:type="gramEnd"/>
      <w:r w:rsidRPr="00365541">
        <w:rPr>
          <w:rFonts w:asciiTheme="majorBidi" w:hAnsiTheme="majorBidi" w:cstheme="majorBidi"/>
          <w:sz w:val="24"/>
          <w:szCs w:val="24"/>
        </w:rPr>
        <w:t xml:space="preserve"> Metabolic syndrome and related disorders, 16(8), 440-</w:t>
      </w:r>
      <w:proofErr w:type="gramStart"/>
      <w:r w:rsidRPr="00365541">
        <w:rPr>
          <w:rFonts w:asciiTheme="majorBidi" w:hAnsiTheme="majorBidi" w:cstheme="majorBidi"/>
          <w:sz w:val="24"/>
          <w:szCs w:val="24"/>
        </w:rPr>
        <w:t>445.</w:t>
      </w:r>
      <w:r w:rsidRPr="00365541">
        <w:rPr>
          <w:rFonts w:asciiTheme="majorBidi" w:hAnsiTheme="majorBidi" w:cstheme="majorBidi"/>
          <w:sz w:val="24"/>
          <w:szCs w:val="24"/>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El </w:t>
      </w:r>
      <w:proofErr w:type="spellStart"/>
      <w:r w:rsidRPr="00365541">
        <w:rPr>
          <w:rFonts w:asciiTheme="majorBidi" w:hAnsiTheme="majorBidi" w:cstheme="majorBidi"/>
          <w:color w:val="222222"/>
          <w:sz w:val="24"/>
          <w:szCs w:val="24"/>
          <w:shd w:val="clear" w:color="auto" w:fill="FFFFFF"/>
        </w:rPr>
        <w:t>Faramawy</w:t>
      </w:r>
      <w:proofErr w:type="spellEnd"/>
      <w:r w:rsidRPr="00365541">
        <w:rPr>
          <w:rFonts w:asciiTheme="majorBidi" w:hAnsiTheme="majorBidi" w:cstheme="majorBidi"/>
          <w:color w:val="222222"/>
          <w:sz w:val="24"/>
          <w:szCs w:val="24"/>
          <w:shd w:val="clear" w:color="auto" w:fill="FFFFFF"/>
        </w:rPr>
        <w:t xml:space="preserve">, A., Youssef, G., El </w:t>
      </w:r>
      <w:proofErr w:type="spellStart"/>
      <w:r w:rsidRPr="00365541">
        <w:rPr>
          <w:rFonts w:asciiTheme="majorBidi" w:hAnsiTheme="majorBidi" w:cstheme="majorBidi"/>
          <w:color w:val="222222"/>
          <w:sz w:val="24"/>
          <w:szCs w:val="24"/>
          <w:shd w:val="clear" w:color="auto" w:fill="FFFFFF"/>
        </w:rPr>
        <w:t>Aroussy</w:t>
      </w:r>
      <w:proofErr w:type="spellEnd"/>
      <w:r w:rsidRPr="00365541">
        <w:rPr>
          <w:rFonts w:asciiTheme="majorBidi" w:hAnsiTheme="majorBidi" w:cstheme="majorBidi"/>
          <w:color w:val="222222"/>
          <w:sz w:val="24"/>
          <w:szCs w:val="24"/>
          <w:shd w:val="clear" w:color="auto" w:fill="FFFFFF"/>
        </w:rPr>
        <w:t xml:space="preserve">, W., El </w:t>
      </w:r>
      <w:proofErr w:type="spellStart"/>
      <w:r w:rsidRPr="00365541">
        <w:rPr>
          <w:rFonts w:asciiTheme="majorBidi" w:hAnsiTheme="majorBidi" w:cstheme="majorBidi"/>
          <w:color w:val="222222"/>
          <w:sz w:val="24"/>
          <w:szCs w:val="24"/>
          <w:shd w:val="clear" w:color="auto" w:fill="FFFFFF"/>
        </w:rPr>
        <w:t>Remisy</w:t>
      </w:r>
      <w:proofErr w:type="spellEnd"/>
      <w:r w:rsidRPr="00365541">
        <w:rPr>
          <w:rFonts w:asciiTheme="majorBidi" w:hAnsiTheme="majorBidi" w:cstheme="majorBidi"/>
          <w:color w:val="222222"/>
          <w:sz w:val="24"/>
          <w:szCs w:val="24"/>
          <w:shd w:val="clear" w:color="auto" w:fill="FFFFFF"/>
        </w:rPr>
        <w:t xml:space="preserve">, D., El </w:t>
      </w:r>
      <w:proofErr w:type="spellStart"/>
      <w:r w:rsidRPr="00365541">
        <w:rPr>
          <w:rFonts w:asciiTheme="majorBidi" w:hAnsiTheme="majorBidi" w:cstheme="majorBidi"/>
          <w:color w:val="222222"/>
          <w:sz w:val="24"/>
          <w:szCs w:val="24"/>
          <w:shd w:val="clear" w:color="auto" w:fill="FFFFFF"/>
        </w:rPr>
        <w:t>Deeb</w:t>
      </w:r>
      <w:proofErr w:type="spellEnd"/>
      <w:r w:rsidRPr="00365541">
        <w:rPr>
          <w:rFonts w:asciiTheme="majorBidi" w:hAnsiTheme="majorBidi" w:cstheme="majorBidi"/>
          <w:color w:val="222222"/>
          <w:sz w:val="24"/>
          <w:szCs w:val="24"/>
          <w:shd w:val="clear" w:color="auto" w:fill="FFFFFF"/>
        </w:rPr>
        <w:t xml:space="preserve">, H., Abdel </w:t>
      </w:r>
      <w:proofErr w:type="spellStart"/>
      <w:r w:rsidRPr="00365541">
        <w:rPr>
          <w:rFonts w:asciiTheme="majorBidi" w:hAnsiTheme="majorBidi" w:cstheme="majorBidi"/>
          <w:color w:val="222222"/>
          <w:sz w:val="24"/>
          <w:szCs w:val="24"/>
          <w:shd w:val="clear" w:color="auto" w:fill="FFFFFF"/>
        </w:rPr>
        <w:t>Aal</w:t>
      </w:r>
      <w:proofErr w:type="spellEnd"/>
      <w:r w:rsidRPr="00365541">
        <w:rPr>
          <w:rFonts w:asciiTheme="majorBidi" w:hAnsiTheme="majorBidi" w:cstheme="majorBidi"/>
          <w:color w:val="222222"/>
          <w:sz w:val="24"/>
          <w:szCs w:val="24"/>
          <w:shd w:val="clear" w:color="auto" w:fill="FFFFFF"/>
        </w:rPr>
        <w:t>, A., &amp; Ibrahim, M. M. (2020). Registry of the Egyptian specialized hypertension clinics: patient risk profiles and geographical differences. Journal of Human Hypertension, 34(7), 520-</w:t>
      </w:r>
      <w:proofErr w:type="gramStart"/>
      <w:r w:rsidRPr="00365541">
        <w:rPr>
          <w:rFonts w:asciiTheme="majorBidi" w:hAnsiTheme="majorBidi" w:cstheme="majorBidi"/>
          <w:color w:val="222222"/>
          <w:sz w:val="24"/>
          <w:szCs w:val="24"/>
          <w:shd w:val="clear" w:color="auto" w:fill="FFFFFF"/>
        </w:rPr>
        <w:t>527.</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El-Amin, H., </w:t>
      </w:r>
      <w:proofErr w:type="spellStart"/>
      <w:r w:rsidRPr="00365541">
        <w:rPr>
          <w:rFonts w:asciiTheme="majorBidi" w:hAnsiTheme="majorBidi" w:cstheme="majorBidi"/>
          <w:color w:val="222222"/>
          <w:sz w:val="24"/>
          <w:szCs w:val="24"/>
          <w:shd w:val="clear" w:color="auto" w:fill="FFFFFF"/>
        </w:rPr>
        <w:t>Shehata</w:t>
      </w:r>
      <w:proofErr w:type="spellEnd"/>
      <w:r w:rsidRPr="00365541">
        <w:rPr>
          <w:rFonts w:asciiTheme="majorBidi" w:hAnsiTheme="majorBidi" w:cstheme="majorBidi"/>
          <w:color w:val="222222"/>
          <w:sz w:val="24"/>
          <w:szCs w:val="24"/>
          <w:shd w:val="clear" w:color="auto" w:fill="FFFFFF"/>
        </w:rPr>
        <w:t xml:space="preserve">, K. M. A., Ammar, A. A., Ali, W. A., Abdel </w:t>
      </w:r>
      <w:proofErr w:type="spellStart"/>
      <w:r w:rsidRPr="00365541">
        <w:rPr>
          <w:rFonts w:asciiTheme="majorBidi" w:hAnsiTheme="majorBidi" w:cstheme="majorBidi"/>
          <w:color w:val="222222"/>
          <w:sz w:val="24"/>
          <w:szCs w:val="24"/>
          <w:shd w:val="clear" w:color="auto" w:fill="FFFFFF"/>
        </w:rPr>
        <w:t>Aal</w:t>
      </w:r>
      <w:proofErr w:type="spellEnd"/>
      <w:r w:rsidRPr="00365541">
        <w:rPr>
          <w:rFonts w:asciiTheme="majorBidi" w:hAnsiTheme="majorBidi" w:cstheme="majorBidi"/>
          <w:color w:val="222222"/>
          <w:sz w:val="24"/>
          <w:szCs w:val="24"/>
          <w:shd w:val="clear" w:color="auto" w:fill="FFFFFF"/>
        </w:rPr>
        <w:t xml:space="preserve">, A. M., </w:t>
      </w:r>
      <w:proofErr w:type="spellStart"/>
      <w:r w:rsidRPr="00365541">
        <w:rPr>
          <w:rFonts w:asciiTheme="majorBidi" w:hAnsiTheme="majorBidi" w:cstheme="majorBidi"/>
          <w:color w:val="222222"/>
          <w:sz w:val="24"/>
          <w:szCs w:val="24"/>
          <w:shd w:val="clear" w:color="auto" w:fill="FFFFFF"/>
        </w:rPr>
        <w:t>Abokresha</w:t>
      </w:r>
      <w:proofErr w:type="spellEnd"/>
      <w:r w:rsidRPr="00365541">
        <w:rPr>
          <w:rFonts w:asciiTheme="majorBidi" w:hAnsiTheme="majorBidi" w:cstheme="majorBidi"/>
          <w:color w:val="222222"/>
          <w:sz w:val="24"/>
          <w:szCs w:val="24"/>
          <w:shd w:val="clear" w:color="auto" w:fill="FFFFFF"/>
        </w:rPr>
        <w:t xml:space="preserve">, M. M., &amp; </w:t>
      </w:r>
      <w:proofErr w:type="spellStart"/>
      <w:r w:rsidRPr="00365541">
        <w:rPr>
          <w:rFonts w:asciiTheme="majorBidi" w:hAnsiTheme="majorBidi" w:cstheme="majorBidi"/>
          <w:color w:val="222222"/>
          <w:sz w:val="24"/>
          <w:szCs w:val="24"/>
          <w:shd w:val="clear" w:color="auto" w:fill="FFFFFF"/>
        </w:rPr>
        <w:t>Kassem</w:t>
      </w:r>
      <w:proofErr w:type="spellEnd"/>
      <w:r w:rsidRPr="00365541">
        <w:rPr>
          <w:rFonts w:asciiTheme="majorBidi" w:hAnsiTheme="majorBidi" w:cstheme="majorBidi"/>
          <w:color w:val="222222"/>
          <w:sz w:val="24"/>
          <w:szCs w:val="24"/>
          <w:shd w:val="clear" w:color="auto" w:fill="FFFFFF"/>
        </w:rPr>
        <w:t xml:space="preserve">, S. M. (2022). Predictors of subclinical atherosclerotic cardiovascular disease in </w:t>
      </w:r>
      <w:r w:rsidRPr="00365541">
        <w:rPr>
          <w:rFonts w:asciiTheme="majorBidi" w:hAnsiTheme="majorBidi" w:cstheme="majorBidi"/>
          <w:color w:val="222222"/>
          <w:sz w:val="24"/>
          <w:szCs w:val="24"/>
          <w:shd w:val="clear" w:color="auto" w:fill="FFFFFF"/>
        </w:rPr>
        <w:lastRenderedPageBreak/>
        <w:t>inflammatory bowel disease patients. </w:t>
      </w:r>
      <w:r w:rsidRPr="00365541">
        <w:rPr>
          <w:rFonts w:asciiTheme="majorBidi" w:hAnsiTheme="majorBidi" w:cstheme="majorBidi"/>
          <w:i/>
          <w:iCs/>
          <w:color w:val="222222"/>
          <w:sz w:val="24"/>
          <w:szCs w:val="24"/>
          <w:shd w:val="clear" w:color="auto" w:fill="FFFFFF"/>
        </w:rPr>
        <w:t>The Egyptian Journal of Hospital Medicine</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87</w:t>
      </w:r>
      <w:r w:rsidRPr="00365541">
        <w:rPr>
          <w:rFonts w:asciiTheme="majorBidi" w:hAnsiTheme="majorBidi" w:cstheme="majorBidi"/>
          <w:color w:val="222222"/>
          <w:sz w:val="24"/>
          <w:szCs w:val="24"/>
          <w:shd w:val="clear" w:color="auto" w:fill="FFFFFF"/>
        </w:rPr>
        <w:t>(1), 1666-</w:t>
      </w:r>
      <w:proofErr w:type="gramStart"/>
      <w:r w:rsidRPr="00365541">
        <w:rPr>
          <w:rFonts w:asciiTheme="majorBidi" w:hAnsiTheme="majorBidi" w:cstheme="majorBidi"/>
          <w:color w:val="222222"/>
          <w:sz w:val="24"/>
          <w:szCs w:val="24"/>
          <w:shd w:val="clear" w:color="auto" w:fill="FFFFFF"/>
        </w:rPr>
        <w:t>1673.</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Elamragy</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Yakoub</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AbdelGhany</w:t>
      </w:r>
      <w:proofErr w:type="spellEnd"/>
      <w:r w:rsidRPr="00365541">
        <w:rPr>
          <w:rFonts w:asciiTheme="majorBidi" w:hAnsiTheme="majorBidi" w:cstheme="majorBidi"/>
          <w:color w:val="222222"/>
          <w:sz w:val="24"/>
          <w:szCs w:val="24"/>
          <w:shd w:val="clear" w:color="auto" w:fill="FFFFFF"/>
        </w:rPr>
        <w:t xml:space="preserve">, M., &amp; Ammar, W. (2021). Coronary tortuosity relation with carotid intima-media thickness, coronary artery disease risk factors, and diastolic dysfunction: is it a marker of early </w:t>
      </w:r>
      <w:proofErr w:type="gramStart"/>
      <w:r w:rsidRPr="00365541">
        <w:rPr>
          <w:rFonts w:asciiTheme="majorBidi" w:hAnsiTheme="majorBidi" w:cstheme="majorBidi"/>
          <w:color w:val="222222"/>
          <w:sz w:val="24"/>
          <w:szCs w:val="24"/>
          <w:shd w:val="clear" w:color="auto" w:fill="FFFFFF"/>
        </w:rPr>
        <w:t>atherosclerosis?.</w:t>
      </w:r>
      <w:proofErr w:type="gramEnd"/>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The Egyptian Heart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73</w:t>
      </w:r>
      <w:r w:rsidRPr="00365541">
        <w:rPr>
          <w:rFonts w:asciiTheme="majorBidi" w:hAnsiTheme="majorBidi" w:cstheme="majorBidi"/>
          <w:color w:val="222222"/>
          <w:sz w:val="24"/>
          <w:szCs w:val="24"/>
          <w:shd w:val="clear" w:color="auto" w:fill="FFFFFF"/>
        </w:rPr>
        <w:t>, 1-</w:t>
      </w:r>
      <w:proofErr w:type="gramStart"/>
      <w:r w:rsidRPr="00365541">
        <w:rPr>
          <w:rFonts w:asciiTheme="majorBidi" w:hAnsiTheme="majorBidi" w:cstheme="majorBidi"/>
          <w:color w:val="222222"/>
          <w:sz w:val="24"/>
          <w:szCs w:val="24"/>
          <w:shd w:val="clear" w:color="auto" w:fill="FFFFFF"/>
        </w:rPr>
        <w:t>9.</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Elhfnawy</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Galeel</w:t>
      </w:r>
      <w:proofErr w:type="spellEnd"/>
      <w:r w:rsidRPr="00365541">
        <w:rPr>
          <w:rFonts w:asciiTheme="majorBidi" w:hAnsiTheme="majorBidi" w:cstheme="majorBidi"/>
          <w:color w:val="222222"/>
          <w:sz w:val="24"/>
          <w:szCs w:val="24"/>
          <w:shd w:val="clear" w:color="auto" w:fill="FFFFFF"/>
        </w:rPr>
        <w:t xml:space="preserve">, A. A., &amp; </w:t>
      </w:r>
      <w:proofErr w:type="spellStart"/>
      <w:r w:rsidRPr="00365541">
        <w:rPr>
          <w:rFonts w:asciiTheme="majorBidi" w:hAnsiTheme="majorBidi" w:cstheme="majorBidi"/>
          <w:color w:val="222222"/>
          <w:sz w:val="24"/>
          <w:szCs w:val="24"/>
          <w:shd w:val="clear" w:color="auto" w:fill="FFFFFF"/>
        </w:rPr>
        <w:t>Abdelkhalek</w:t>
      </w:r>
      <w:proofErr w:type="spellEnd"/>
      <w:r w:rsidRPr="00365541">
        <w:rPr>
          <w:rFonts w:asciiTheme="majorBidi" w:hAnsiTheme="majorBidi" w:cstheme="majorBidi"/>
          <w:color w:val="222222"/>
          <w:sz w:val="24"/>
          <w:szCs w:val="24"/>
          <w:shd w:val="clear" w:color="auto" w:fill="FFFFFF"/>
        </w:rPr>
        <w:t>, H. (2023). Carotid atherosclerosis in a sample of Egyptian patients with or without ischemic vascular events. </w:t>
      </w:r>
      <w:r w:rsidRPr="00365541">
        <w:rPr>
          <w:rFonts w:asciiTheme="majorBidi" w:hAnsiTheme="majorBidi" w:cstheme="majorBidi"/>
          <w:i/>
          <w:iCs/>
          <w:color w:val="222222"/>
          <w:sz w:val="24"/>
          <w:szCs w:val="24"/>
          <w:shd w:val="clear" w:color="auto" w:fill="FFFFFF"/>
        </w:rPr>
        <w:t>The Egyptian Journal of Neurology, Psychiatry and Neurosurgery</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59</w:t>
      </w:r>
      <w:r w:rsidRPr="00365541">
        <w:rPr>
          <w:rFonts w:asciiTheme="majorBidi" w:hAnsiTheme="majorBidi" w:cstheme="majorBidi"/>
          <w:color w:val="222222"/>
          <w:sz w:val="24"/>
          <w:szCs w:val="24"/>
          <w:shd w:val="clear" w:color="auto" w:fill="FFFFFF"/>
        </w:rPr>
        <w:t xml:space="preserve">(1), </w:t>
      </w:r>
      <w:proofErr w:type="gramStart"/>
      <w:r w:rsidRPr="00365541">
        <w:rPr>
          <w:rFonts w:asciiTheme="majorBidi" w:hAnsiTheme="majorBidi" w:cstheme="majorBidi"/>
          <w:color w:val="222222"/>
          <w:sz w:val="24"/>
          <w:szCs w:val="24"/>
          <w:shd w:val="clear" w:color="auto" w:fill="FFFFFF"/>
        </w:rPr>
        <w:t>144.</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Elkersh</w:t>
      </w:r>
      <w:proofErr w:type="spellEnd"/>
      <w:r w:rsidRPr="00365541">
        <w:rPr>
          <w:rFonts w:asciiTheme="majorBidi" w:hAnsiTheme="majorBidi" w:cstheme="majorBidi"/>
          <w:color w:val="222222"/>
          <w:sz w:val="24"/>
          <w:szCs w:val="24"/>
          <w:shd w:val="clear" w:color="auto" w:fill="FFFFFF"/>
        </w:rPr>
        <w:t xml:space="preserve">, A. A., Samir, A., &amp; </w:t>
      </w:r>
      <w:proofErr w:type="spellStart"/>
      <w:r w:rsidRPr="00365541">
        <w:rPr>
          <w:rFonts w:asciiTheme="majorBidi" w:hAnsiTheme="majorBidi" w:cstheme="majorBidi"/>
          <w:color w:val="222222"/>
          <w:sz w:val="24"/>
          <w:szCs w:val="24"/>
          <w:shd w:val="clear" w:color="auto" w:fill="FFFFFF"/>
        </w:rPr>
        <w:t>Reda</w:t>
      </w:r>
      <w:proofErr w:type="spellEnd"/>
      <w:r w:rsidRPr="00365541">
        <w:rPr>
          <w:rFonts w:asciiTheme="majorBidi" w:hAnsiTheme="majorBidi" w:cstheme="majorBidi"/>
          <w:color w:val="222222"/>
          <w:sz w:val="24"/>
          <w:szCs w:val="24"/>
          <w:shd w:val="clear" w:color="auto" w:fill="FFFFFF"/>
        </w:rPr>
        <w:t>, A. (2022). The risk factor profile in Egyptian patients with acute coronary syndrome: an observational study. </w:t>
      </w:r>
      <w:proofErr w:type="spellStart"/>
      <w:r w:rsidRPr="00365541">
        <w:rPr>
          <w:rFonts w:asciiTheme="majorBidi" w:hAnsiTheme="majorBidi" w:cstheme="majorBidi"/>
          <w:i/>
          <w:iCs/>
          <w:color w:val="222222"/>
          <w:sz w:val="24"/>
          <w:szCs w:val="24"/>
          <w:shd w:val="clear" w:color="auto" w:fill="FFFFFF"/>
        </w:rPr>
        <w:t>Menoufia</w:t>
      </w:r>
      <w:proofErr w:type="spellEnd"/>
      <w:r w:rsidRPr="00365541">
        <w:rPr>
          <w:rFonts w:asciiTheme="majorBidi" w:hAnsiTheme="majorBidi" w:cstheme="majorBidi"/>
          <w:i/>
          <w:iCs/>
          <w:color w:val="222222"/>
          <w:sz w:val="24"/>
          <w:szCs w:val="24"/>
          <w:shd w:val="clear" w:color="auto" w:fill="FFFFFF"/>
        </w:rPr>
        <w:t xml:space="preserve"> Medical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35</w:t>
      </w:r>
      <w:r w:rsidRPr="00365541">
        <w:rPr>
          <w:rFonts w:asciiTheme="majorBidi" w:hAnsiTheme="majorBidi" w:cstheme="majorBidi"/>
          <w:color w:val="222222"/>
          <w:sz w:val="24"/>
          <w:szCs w:val="24"/>
          <w:shd w:val="clear" w:color="auto" w:fill="FFFFFF"/>
        </w:rPr>
        <w:t>(2), 359-</w:t>
      </w:r>
      <w:proofErr w:type="gramStart"/>
      <w:r w:rsidRPr="00365541">
        <w:rPr>
          <w:rFonts w:asciiTheme="majorBidi" w:hAnsiTheme="majorBidi" w:cstheme="majorBidi"/>
          <w:color w:val="222222"/>
          <w:sz w:val="24"/>
          <w:szCs w:val="24"/>
          <w:shd w:val="clear" w:color="auto" w:fill="FFFFFF"/>
        </w:rPr>
        <w:t>363.</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Ellaien</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Reda</w:t>
      </w:r>
      <w:proofErr w:type="spellEnd"/>
      <w:r w:rsidRPr="00365541">
        <w:rPr>
          <w:rFonts w:asciiTheme="majorBidi" w:hAnsiTheme="majorBidi" w:cstheme="majorBidi"/>
          <w:color w:val="222222"/>
          <w:sz w:val="24"/>
          <w:szCs w:val="24"/>
          <w:shd w:val="clear" w:color="auto" w:fill="FFFFFF"/>
        </w:rPr>
        <w:t xml:space="preserve">, A., &amp; </w:t>
      </w:r>
      <w:proofErr w:type="spellStart"/>
      <w:r w:rsidRPr="00365541">
        <w:rPr>
          <w:rFonts w:asciiTheme="majorBidi" w:hAnsiTheme="majorBidi" w:cstheme="majorBidi"/>
          <w:color w:val="222222"/>
          <w:sz w:val="24"/>
          <w:szCs w:val="24"/>
          <w:shd w:val="clear" w:color="auto" w:fill="FFFFFF"/>
        </w:rPr>
        <w:t>Elkersh</w:t>
      </w:r>
      <w:proofErr w:type="spellEnd"/>
      <w:r w:rsidRPr="00365541">
        <w:rPr>
          <w:rFonts w:asciiTheme="majorBidi" w:hAnsiTheme="majorBidi" w:cstheme="majorBidi"/>
          <w:color w:val="222222"/>
          <w:sz w:val="24"/>
          <w:szCs w:val="24"/>
          <w:shd w:val="clear" w:color="auto" w:fill="FFFFFF"/>
        </w:rPr>
        <w:t>, A. (2020). The Pattern of Risk Factor Profile and Dutch Lipid Clinic Network Criteria of Familial Hypercholesterolemia in Egyptian Patients with Premature Coronary Heart Disease. </w:t>
      </w:r>
      <w:r w:rsidRPr="00365541">
        <w:rPr>
          <w:rFonts w:asciiTheme="majorBidi" w:hAnsiTheme="majorBidi" w:cstheme="majorBidi"/>
          <w:i/>
          <w:iCs/>
          <w:color w:val="222222"/>
          <w:sz w:val="24"/>
          <w:szCs w:val="24"/>
          <w:shd w:val="clear" w:color="auto" w:fill="FFFFFF"/>
        </w:rPr>
        <w:t>Cardiology and Cardiovascular Research</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4</w:t>
      </w:r>
      <w:r w:rsidRPr="00365541">
        <w:rPr>
          <w:rFonts w:asciiTheme="majorBidi" w:hAnsiTheme="majorBidi" w:cstheme="majorBidi"/>
          <w:color w:val="222222"/>
          <w:sz w:val="24"/>
          <w:szCs w:val="24"/>
          <w:shd w:val="clear" w:color="auto" w:fill="FFFFFF"/>
        </w:rPr>
        <w:t>(4), 203-</w:t>
      </w:r>
      <w:proofErr w:type="gramStart"/>
      <w:r w:rsidRPr="00365541">
        <w:rPr>
          <w:rFonts w:asciiTheme="majorBidi" w:hAnsiTheme="majorBidi" w:cstheme="majorBidi"/>
          <w:color w:val="222222"/>
          <w:sz w:val="24"/>
          <w:szCs w:val="24"/>
          <w:shd w:val="clear" w:color="auto" w:fill="FFFFFF"/>
        </w:rPr>
        <w:t>209.</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El-</w:t>
      </w:r>
      <w:proofErr w:type="spellStart"/>
      <w:r w:rsidRPr="00365541">
        <w:rPr>
          <w:rFonts w:asciiTheme="majorBidi" w:hAnsiTheme="majorBidi" w:cstheme="majorBidi"/>
          <w:color w:val="222222"/>
          <w:sz w:val="24"/>
          <w:szCs w:val="24"/>
          <w:shd w:val="clear" w:color="auto" w:fill="FFFFFF"/>
        </w:rPr>
        <w:t>Moselhy</w:t>
      </w:r>
      <w:proofErr w:type="spellEnd"/>
      <w:r w:rsidRPr="00365541">
        <w:rPr>
          <w:rFonts w:asciiTheme="majorBidi" w:hAnsiTheme="majorBidi" w:cstheme="majorBidi"/>
          <w:color w:val="222222"/>
          <w:sz w:val="24"/>
          <w:szCs w:val="24"/>
          <w:shd w:val="clear" w:color="auto" w:fill="FFFFFF"/>
        </w:rPr>
        <w:t xml:space="preserve">, E. A., Mohammed, A. S., </w:t>
      </w:r>
      <w:proofErr w:type="spellStart"/>
      <w:r w:rsidRPr="00365541">
        <w:rPr>
          <w:rFonts w:asciiTheme="majorBidi" w:hAnsiTheme="majorBidi" w:cstheme="majorBidi"/>
          <w:color w:val="222222"/>
          <w:sz w:val="24"/>
          <w:szCs w:val="24"/>
          <w:shd w:val="clear" w:color="auto" w:fill="FFFFFF"/>
        </w:rPr>
        <w:t>Abd</w:t>
      </w:r>
      <w:proofErr w:type="spellEnd"/>
      <w:r w:rsidRPr="00365541">
        <w:rPr>
          <w:rFonts w:asciiTheme="majorBidi" w:hAnsiTheme="majorBidi" w:cstheme="majorBidi"/>
          <w:color w:val="222222"/>
          <w:sz w:val="24"/>
          <w:szCs w:val="24"/>
          <w:shd w:val="clear" w:color="auto" w:fill="FFFFFF"/>
        </w:rPr>
        <w:t xml:space="preserve"> El-Aziz, A., </w:t>
      </w:r>
      <w:proofErr w:type="spellStart"/>
      <w:r w:rsidRPr="00365541">
        <w:rPr>
          <w:rFonts w:asciiTheme="majorBidi" w:hAnsiTheme="majorBidi" w:cstheme="majorBidi"/>
          <w:color w:val="222222"/>
          <w:sz w:val="24"/>
          <w:szCs w:val="24"/>
          <w:shd w:val="clear" w:color="auto" w:fill="FFFFFF"/>
        </w:rPr>
        <w:t>Sadek</w:t>
      </w:r>
      <w:proofErr w:type="spellEnd"/>
      <w:r w:rsidRPr="00365541">
        <w:rPr>
          <w:rFonts w:asciiTheme="majorBidi" w:hAnsiTheme="majorBidi" w:cstheme="majorBidi"/>
          <w:color w:val="222222"/>
          <w:sz w:val="24"/>
          <w:szCs w:val="24"/>
          <w:shd w:val="clear" w:color="auto" w:fill="FFFFFF"/>
        </w:rPr>
        <w:t xml:space="preserve">, I., </w:t>
      </w:r>
      <w:proofErr w:type="spellStart"/>
      <w:r w:rsidRPr="00365541">
        <w:rPr>
          <w:rFonts w:asciiTheme="majorBidi" w:hAnsiTheme="majorBidi" w:cstheme="majorBidi"/>
          <w:color w:val="222222"/>
          <w:sz w:val="24"/>
          <w:szCs w:val="24"/>
          <w:shd w:val="clear" w:color="auto" w:fill="FFFFFF"/>
        </w:rPr>
        <w:t>Hagrass</w:t>
      </w:r>
      <w:proofErr w:type="spellEnd"/>
      <w:r w:rsidRPr="00365541">
        <w:rPr>
          <w:rFonts w:asciiTheme="majorBidi" w:hAnsiTheme="majorBidi" w:cstheme="majorBidi"/>
          <w:color w:val="222222"/>
          <w:sz w:val="24"/>
          <w:szCs w:val="24"/>
          <w:shd w:val="clear" w:color="auto" w:fill="FFFFFF"/>
        </w:rPr>
        <w:t xml:space="preserve">, S. A., &amp; </w:t>
      </w:r>
      <w:proofErr w:type="spellStart"/>
      <w:r w:rsidRPr="00365541">
        <w:rPr>
          <w:rFonts w:asciiTheme="majorBidi" w:hAnsiTheme="majorBidi" w:cstheme="majorBidi"/>
          <w:color w:val="222222"/>
          <w:sz w:val="24"/>
          <w:szCs w:val="24"/>
          <w:shd w:val="clear" w:color="auto" w:fill="FFFFFF"/>
        </w:rPr>
        <w:t>Farag</w:t>
      </w:r>
      <w:proofErr w:type="spellEnd"/>
      <w:r w:rsidRPr="00365541">
        <w:rPr>
          <w:rFonts w:asciiTheme="majorBidi" w:hAnsiTheme="majorBidi" w:cstheme="majorBidi"/>
          <w:color w:val="222222"/>
          <w:sz w:val="24"/>
          <w:szCs w:val="24"/>
          <w:shd w:val="clear" w:color="auto" w:fill="FFFFFF"/>
        </w:rPr>
        <w:t>, G. A. S. (2018). Coronary artery disease among elderly Egyptian patients: I. socio-demographic, lifestyle, psychosocial, medical, and biochemical risk factors. </w:t>
      </w:r>
      <w:r w:rsidRPr="00365541">
        <w:rPr>
          <w:rFonts w:asciiTheme="majorBidi" w:hAnsiTheme="majorBidi" w:cstheme="majorBidi"/>
          <w:i/>
          <w:iCs/>
          <w:color w:val="222222"/>
          <w:sz w:val="24"/>
          <w:szCs w:val="24"/>
          <w:shd w:val="clear" w:color="auto" w:fill="FFFFFF"/>
        </w:rPr>
        <w:t xml:space="preserve">Am J </w:t>
      </w:r>
      <w:proofErr w:type="spellStart"/>
      <w:r w:rsidRPr="00365541">
        <w:rPr>
          <w:rFonts w:asciiTheme="majorBidi" w:hAnsiTheme="majorBidi" w:cstheme="majorBidi"/>
          <w:i/>
          <w:iCs/>
          <w:color w:val="222222"/>
          <w:sz w:val="24"/>
          <w:szCs w:val="24"/>
          <w:shd w:val="clear" w:color="auto" w:fill="FFFFFF"/>
        </w:rPr>
        <w:t>Gerentol</w:t>
      </w:r>
      <w:proofErr w:type="spellEnd"/>
      <w:r w:rsidRPr="00365541">
        <w:rPr>
          <w:rFonts w:asciiTheme="majorBidi" w:hAnsiTheme="majorBidi" w:cstheme="majorBidi"/>
          <w:i/>
          <w:iCs/>
          <w:color w:val="222222"/>
          <w:sz w:val="24"/>
          <w:szCs w:val="24"/>
          <w:shd w:val="clear" w:color="auto" w:fill="FFFFFF"/>
        </w:rPr>
        <w:t xml:space="preserve"> </w:t>
      </w:r>
      <w:proofErr w:type="spellStart"/>
      <w:r w:rsidRPr="00365541">
        <w:rPr>
          <w:rFonts w:asciiTheme="majorBidi" w:hAnsiTheme="majorBidi" w:cstheme="majorBidi"/>
          <w:i/>
          <w:iCs/>
          <w:color w:val="222222"/>
          <w:sz w:val="24"/>
          <w:szCs w:val="24"/>
          <w:shd w:val="clear" w:color="auto" w:fill="FFFFFF"/>
        </w:rPr>
        <w:t>Geriatr</w:t>
      </w:r>
      <w:proofErr w:type="spellEnd"/>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1</w:t>
      </w:r>
      <w:r w:rsidRPr="00365541">
        <w:rPr>
          <w:rFonts w:asciiTheme="majorBidi" w:hAnsiTheme="majorBidi" w:cstheme="majorBidi"/>
          <w:color w:val="222222"/>
          <w:sz w:val="24"/>
          <w:szCs w:val="24"/>
          <w:shd w:val="clear" w:color="auto" w:fill="FFFFFF"/>
        </w:rPr>
        <w:t xml:space="preserve">(2), </w:t>
      </w:r>
      <w:proofErr w:type="gramStart"/>
      <w:r w:rsidRPr="00365541">
        <w:rPr>
          <w:rFonts w:asciiTheme="majorBidi" w:hAnsiTheme="majorBidi" w:cstheme="majorBidi"/>
          <w:color w:val="222222"/>
          <w:sz w:val="24"/>
          <w:szCs w:val="24"/>
          <w:shd w:val="clear" w:color="auto" w:fill="FFFFFF"/>
        </w:rPr>
        <w:t>1006.</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Francis, V. F., </w:t>
      </w:r>
      <w:proofErr w:type="spellStart"/>
      <w:r w:rsidRPr="00365541">
        <w:rPr>
          <w:rFonts w:asciiTheme="majorBidi" w:hAnsiTheme="majorBidi" w:cstheme="majorBidi"/>
          <w:color w:val="222222"/>
          <w:sz w:val="24"/>
          <w:szCs w:val="24"/>
          <w:shd w:val="clear" w:color="auto" w:fill="FFFFFF"/>
        </w:rPr>
        <w:t>Elshamy</w:t>
      </w:r>
      <w:proofErr w:type="spellEnd"/>
      <w:r w:rsidRPr="00365541">
        <w:rPr>
          <w:rFonts w:asciiTheme="majorBidi" w:hAnsiTheme="majorBidi" w:cstheme="majorBidi"/>
          <w:color w:val="222222"/>
          <w:sz w:val="24"/>
          <w:szCs w:val="24"/>
          <w:shd w:val="clear" w:color="auto" w:fill="FFFFFF"/>
        </w:rPr>
        <w:t xml:space="preserve">, S. L., </w:t>
      </w:r>
      <w:proofErr w:type="spellStart"/>
      <w:r w:rsidRPr="00365541">
        <w:rPr>
          <w:rFonts w:asciiTheme="majorBidi" w:hAnsiTheme="majorBidi" w:cstheme="majorBidi"/>
          <w:color w:val="222222"/>
          <w:sz w:val="24"/>
          <w:szCs w:val="24"/>
          <w:shd w:val="clear" w:color="auto" w:fill="FFFFFF"/>
        </w:rPr>
        <w:t>Mahgoub</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Shelbaya</w:t>
      </w:r>
      <w:proofErr w:type="spellEnd"/>
      <w:r w:rsidRPr="00365541">
        <w:rPr>
          <w:rFonts w:asciiTheme="majorBidi" w:hAnsiTheme="majorBidi" w:cstheme="majorBidi"/>
          <w:color w:val="222222"/>
          <w:sz w:val="24"/>
          <w:szCs w:val="24"/>
          <w:shd w:val="clear" w:color="auto" w:fill="FFFFFF"/>
        </w:rPr>
        <w:t xml:space="preserve">, K., &amp; </w:t>
      </w:r>
      <w:proofErr w:type="spellStart"/>
      <w:r w:rsidRPr="00365541">
        <w:rPr>
          <w:rFonts w:asciiTheme="majorBidi" w:hAnsiTheme="majorBidi" w:cstheme="majorBidi"/>
          <w:color w:val="222222"/>
          <w:sz w:val="24"/>
          <w:szCs w:val="24"/>
          <w:shd w:val="clear" w:color="auto" w:fill="FFFFFF"/>
        </w:rPr>
        <w:t>Zarif</w:t>
      </w:r>
      <w:proofErr w:type="spellEnd"/>
      <w:r w:rsidRPr="00365541">
        <w:rPr>
          <w:rFonts w:asciiTheme="majorBidi" w:hAnsiTheme="majorBidi" w:cstheme="majorBidi"/>
          <w:color w:val="222222"/>
          <w:sz w:val="24"/>
          <w:szCs w:val="24"/>
          <w:shd w:val="clear" w:color="auto" w:fill="FFFFFF"/>
        </w:rPr>
        <w:t>, B. (2024). Distribution of cardiovascular risk severity among Egyptian patients with established cardiovascular diseases. </w:t>
      </w:r>
      <w:r w:rsidRPr="00365541">
        <w:rPr>
          <w:rFonts w:asciiTheme="majorBidi" w:hAnsiTheme="majorBidi" w:cstheme="majorBidi"/>
          <w:i/>
          <w:iCs/>
          <w:color w:val="222222"/>
          <w:sz w:val="24"/>
          <w:szCs w:val="24"/>
          <w:shd w:val="clear" w:color="auto" w:fill="FFFFFF"/>
        </w:rPr>
        <w:t>European Journal of Preventive Cardiology</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31</w:t>
      </w:r>
      <w:r w:rsidRPr="00365541">
        <w:rPr>
          <w:rFonts w:asciiTheme="majorBidi" w:hAnsiTheme="majorBidi" w:cstheme="majorBidi"/>
          <w:color w:val="222222"/>
          <w:sz w:val="24"/>
          <w:szCs w:val="24"/>
          <w:shd w:val="clear" w:color="auto" w:fill="FFFFFF"/>
        </w:rPr>
        <w:t>(Supplement_1), zwae175-</w:t>
      </w:r>
      <w:proofErr w:type="gramStart"/>
      <w:r w:rsidRPr="00365541">
        <w:rPr>
          <w:rFonts w:asciiTheme="majorBidi" w:hAnsiTheme="majorBidi" w:cstheme="majorBidi"/>
          <w:color w:val="222222"/>
          <w:sz w:val="24"/>
          <w:szCs w:val="24"/>
          <w:shd w:val="clear" w:color="auto" w:fill="FFFFFF"/>
        </w:rPr>
        <w:t>298.</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sz w:val="24"/>
          <w:szCs w:val="24"/>
        </w:rPr>
      </w:pPr>
      <w:proofErr w:type="spellStart"/>
      <w:r w:rsidRPr="00365541">
        <w:rPr>
          <w:rFonts w:asciiTheme="majorBidi" w:hAnsiTheme="majorBidi" w:cstheme="majorBidi"/>
          <w:sz w:val="24"/>
          <w:szCs w:val="24"/>
        </w:rPr>
        <w:t>Ghanema</w:t>
      </w:r>
      <w:proofErr w:type="spellEnd"/>
      <w:r w:rsidRPr="00365541">
        <w:rPr>
          <w:rFonts w:asciiTheme="majorBidi" w:hAnsiTheme="majorBidi" w:cstheme="majorBidi"/>
          <w:sz w:val="24"/>
          <w:szCs w:val="24"/>
        </w:rPr>
        <w:t xml:space="preserve">, B. M. A., </w:t>
      </w:r>
      <w:proofErr w:type="spellStart"/>
      <w:r w:rsidRPr="00365541">
        <w:rPr>
          <w:rFonts w:asciiTheme="majorBidi" w:hAnsiTheme="majorBidi" w:cstheme="majorBidi"/>
          <w:sz w:val="24"/>
          <w:szCs w:val="24"/>
        </w:rPr>
        <w:t>Wafa</w:t>
      </w:r>
      <w:proofErr w:type="spellEnd"/>
      <w:r w:rsidRPr="00365541">
        <w:rPr>
          <w:rFonts w:asciiTheme="majorBidi" w:hAnsiTheme="majorBidi" w:cstheme="majorBidi"/>
          <w:sz w:val="24"/>
          <w:szCs w:val="24"/>
        </w:rPr>
        <w:t>, A., &amp; Osman, A. M. (2024). Correlation between Novel Inflammatory Index and Coronary Artery Disease Severity in Egyptian Patients with Acute Coronary Syndrome. Egyptian Journal of Hospital Medicine, 97(1), 4240-</w:t>
      </w:r>
      <w:proofErr w:type="gramStart"/>
      <w:r w:rsidRPr="00365541">
        <w:rPr>
          <w:rFonts w:asciiTheme="majorBidi" w:hAnsiTheme="majorBidi" w:cstheme="majorBidi"/>
          <w:sz w:val="24"/>
          <w:szCs w:val="24"/>
        </w:rPr>
        <w:t>4247.</w:t>
      </w:r>
      <w:r w:rsidRPr="00365541">
        <w:rPr>
          <w:rFonts w:asciiTheme="majorBidi" w:hAnsiTheme="majorBidi" w:cstheme="majorBidi"/>
          <w:sz w:val="24"/>
          <w:szCs w:val="24"/>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Hassan, M. M., </w:t>
      </w:r>
      <w:proofErr w:type="spellStart"/>
      <w:r w:rsidRPr="00365541">
        <w:rPr>
          <w:rFonts w:asciiTheme="majorBidi" w:hAnsiTheme="majorBidi" w:cstheme="majorBidi"/>
          <w:color w:val="222222"/>
          <w:sz w:val="24"/>
          <w:szCs w:val="24"/>
          <w:shd w:val="clear" w:color="auto" w:fill="FFFFFF"/>
        </w:rPr>
        <w:t>Sobh</w:t>
      </w:r>
      <w:proofErr w:type="spellEnd"/>
      <w:r w:rsidRPr="00365541">
        <w:rPr>
          <w:rFonts w:asciiTheme="majorBidi" w:hAnsiTheme="majorBidi" w:cstheme="majorBidi"/>
          <w:color w:val="222222"/>
          <w:sz w:val="24"/>
          <w:szCs w:val="24"/>
          <w:shd w:val="clear" w:color="auto" w:fill="FFFFFF"/>
        </w:rPr>
        <w:t xml:space="preserve">, K. M., </w:t>
      </w:r>
      <w:proofErr w:type="spellStart"/>
      <w:r w:rsidRPr="00365541">
        <w:rPr>
          <w:rFonts w:asciiTheme="majorBidi" w:hAnsiTheme="majorBidi" w:cstheme="majorBidi"/>
          <w:color w:val="222222"/>
          <w:sz w:val="24"/>
          <w:szCs w:val="24"/>
          <w:shd w:val="clear" w:color="auto" w:fill="FFFFFF"/>
        </w:rPr>
        <w:t>Galal</w:t>
      </w:r>
      <w:proofErr w:type="spellEnd"/>
      <w:r w:rsidRPr="00365541">
        <w:rPr>
          <w:rFonts w:asciiTheme="majorBidi" w:hAnsiTheme="majorBidi" w:cstheme="majorBidi"/>
          <w:color w:val="222222"/>
          <w:sz w:val="24"/>
          <w:szCs w:val="24"/>
          <w:shd w:val="clear" w:color="auto" w:fill="FFFFFF"/>
        </w:rPr>
        <w:t xml:space="preserve">, M., Ahmed, S. I., Al </w:t>
      </w:r>
      <w:proofErr w:type="spellStart"/>
      <w:r w:rsidRPr="00365541">
        <w:rPr>
          <w:rFonts w:asciiTheme="majorBidi" w:hAnsiTheme="majorBidi" w:cstheme="majorBidi"/>
          <w:color w:val="222222"/>
          <w:sz w:val="24"/>
          <w:szCs w:val="24"/>
          <w:shd w:val="clear" w:color="auto" w:fill="FFFFFF"/>
        </w:rPr>
        <w:t>Shazly</w:t>
      </w:r>
      <w:proofErr w:type="spellEnd"/>
      <w:r w:rsidRPr="00365541">
        <w:rPr>
          <w:rFonts w:asciiTheme="majorBidi" w:hAnsiTheme="majorBidi" w:cstheme="majorBidi"/>
          <w:color w:val="222222"/>
          <w:sz w:val="24"/>
          <w:szCs w:val="24"/>
          <w:shd w:val="clear" w:color="auto" w:fill="FFFFFF"/>
        </w:rPr>
        <w:t xml:space="preserve">, S. M., &amp; </w:t>
      </w:r>
      <w:proofErr w:type="spellStart"/>
      <w:r w:rsidRPr="00365541">
        <w:rPr>
          <w:rFonts w:asciiTheme="majorBidi" w:hAnsiTheme="majorBidi" w:cstheme="majorBidi"/>
          <w:color w:val="222222"/>
          <w:sz w:val="24"/>
          <w:szCs w:val="24"/>
          <w:shd w:val="clear" w:color="auto" w:fill="FFFFFF"/>
        </w:rPr>
        <w:t>Shokry</w:t>
      </w:r>
      <w:proofErr w:type="spellEnd"/>
      <w:r w:rsidRPr="00365541">
        <w:rPr>
          <w:rFonts w:asciiTheme="majorBidi" w:hAnsiTheme="majorBidi" w:cstheme="majorBidi"/>
          <w:color w:val="222222"/>
          <w:sz w:val="24"/>
          <w:szCs w:val="24"/>
          <w:shd w:val="clear" w:color="auto" w:fill="FFFFFF"/>
        </w:rPr>
        <w:t>, A. E. (2022). Endovascular evaluation of intracranial atherosclerotic stenosis in a sample of Egyptian patients presented with ischemic stroke. </w:t>
      </w:r>
      <w:r w:rsidRPr="00365541">
        <w:rPr>
          <w:rFonts w:asciiTheme="majorBidi" w:hAnsiTheme="majorBidi" w:cstheme="majorBidi"/>
          <w:i/>
          <w:iCs/>
          <w:color w:val="222222"/>
          <w:sz w:val="24"/>
          <w:szCs w:val="24"/>
          <w:shd w:val="clear" w:color="auto" w:fill="FFFFFF"/>
        </w:rPr>
        <w:t>Al-</w:t>
      </w:r>
      <w:proofErr w:type="spellStart"/>
      <w:r w:rsidRPr="00365541">
        <w:rPr>
          <w:rFonts w:asciiTheme="majorBidi" w:hAnsiTheme="majorBidi" w:cstheme="majorBidi"/>
          <w:i/>
          <w:iCs/>
          <w:color w:val="222222"/>
          <w:sz w:val="24"/>
          <w:szCs w:val="24"/>
          <w:shd w:val="clear" w:color="auto" w:fill="FFFFFF"/>
        </w:rPr>
        <w:t>Azhar</w:t>
      </w:r>
      <w:proofErr w:type="spellEnd"/>
      <w:r w:rsidRPr="00365541">
        <w:rPr>
          <w:rFonts w:asciiTheme="majorBidi" w:hAnsiTheme="majorBidi" w:cstheme="majorBidi"/>
          <w:i/>
          <w:iCs/>
          <w:color w:val="222222"/>
          <w:sz w:val="24"/>
          <w:szCs w:val="24"/>
          <w:shd w:val="clear" w:color="auto" w:fill="FFFFFF"/>
        </w:rPr>
        <w:t xml:space="preserve"> </w:t>
      </w:r>
      <w:proofErr w:type="spellStart"/>
      <w:r w:rsidRPr="00365541">
        <w:rPr>
          <w:rFonts w:asciiTheme="majorBidi" w:hAnsiTheme="majorBidi" w:cstheme="majorBidi"/>
          <w:i/>
          <w:iCs/>
          <w:color w:val="222222"/>
          <w:sz w:val="24"/>
          <w:szCs w:val="24"/>
          <w:shd w:val="clear" w:color="auto" w:fill="FFFFFF"/>
        </w:rPr>
        <w:t>Assiut</w:t>
      </w:r>
      <w:proofErr w:type="spellEnd"/>
      <w:r w:rsidRPr="00365541">
        <w:rPr>
          <w:rFonts w:asciiTheme="majorBidi" w:hAnsiTheme="majorBidi" w:cstheme="majorBidi"/>
          <w:i/>
          <w:iCs/>
          <w:color w:val="222222"/>
          <w:sz w:val="24"/>
          <w:szCs w:val="24"/>
          <w:shd w:val="clear" w:color="auto" w:fill="FFFFFF"/>
        </w:rPr>
        <w:t xml:space="preserve"> Medical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20</w:t>
      </w:r>
      <w:r w:rsidRPr="00365541">
        <w:rPr>
          <w:rFonts w:asciiTheme="majorBidi" w:hAnsiTheme="majorBidi" w:cstheme="majorBidi"/>
          <w:color w:val="222222"/>
          <w:sz w:val="24"/>
          <w:szCs w:val="24"/>
          <w:shd w:val="clear" w:color="auto" w:fill="FFFFFF"/>
        </w:rPr>
        <w:t>(1), 85-</w:t>
      </w:r>
      <w:proofErr w:type="gramStart"/>
      <w:r w:rsidRPr="00365541">
        <w:rPr>
          <w:rFonts w:asciiTheme="majorBidi" w:hAnsiTheme="majorBidi" w:cstheme="majorBidi"/>
          <w:color w:val="222222"/>
          <w:sz w:val="24"/>
          <w:szCs w:val="24"/>
          <w:shd w:val="clear" w:color="auto" w:fill="FFFFFF"/>
        </w:rPr>
        <w:t>92.</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Hussein, A., Mahmoud, S. E., </w:t>
      </w:r>
      <w:proofErr w:type="spellStart"/>
      <w:r w:rsidRPr="00365541">
        <w:rPr>
          <w:rFonts w:asciiTheme="majorBidi" w:hAnsiTheme="majorBidi" w:cstheme="majorBidi"/>
          <w:color w:val="222222"/>
          <w:sz w:val="24"/>
          <w:szCs w:val="24"/>
          <w:shd w:val="clear" w:color="auto" w:fill="FFFFFF"/>
        </w:rPr>
        <w:t>Awad</w:t>
      </w:r>
      <w:proofErr w:type="spellEnd"/>
      <w:r w:rsidRPr="00365541">
        <w:rPr>
          <w:rFonts w:asciiTheme="majorBidi" w:hAnsiTheme="majorBidi" w:cstheme="majorBidi"/>
          <w:color w:val="222222"/>
          <w:sz w:val="24"/>
          <w:szCs w:val="24"/>
          <w:shd w:val="clear" w:color="auto" w:fill="FFFFFF"/>
        </w:rPr>
        <w:t>, M. S., &amp; Mahmoud, H. E. M. (2020). Assessment of cardiovascular risk factors in patients with type 2 diabetes in upper Egypt villages. </w:t>
      </w:r>
      <w:r w:rsidRPr="00365541">
        <w:rPr>
          <w:rFonts w:asciiTheme="majorBidi" w:hAnsiTheme="majorBidi" w:cstheme="majorBidi"/>
          <w:i/>
          <w:iCs/>
          <w:color w:val="222222"/>
          <w:sz w:val="24"/>
          <w:szCs w:val="24"/>
          <w:shd w:val="clear" w:color="auto" w:fill="FFFFFF"/>
        </w:rPr>
        <w:t>Diabetes, Metabolic Syndrome and Obesity</w:t>
      </w:r>
      <w:r w:rsidRPr="00365541">
        <w:rPr>
          <w:rFonts w:asciiTheme="majorBidi" w:hAnsiTheme="majorBidi" w:cstheme="majorBidi"/>
          <w:color w:val="222222"/>
          <w:sz w:val="24"/>
          <w:szCs w:val="24"/>
          <w:shd w:val="clear" w:color="auto" w:fill="FFFFFF"/>
        </w:rPr>
        <w:t>, 4737-</w:t>
      </w:r>
      <w:proofErr w:type="gramStart"/>
      <w:r w:rsidRPr="00365541">
        <w:rPr>
          <w:rFonts w:asciiTheme="majorBidi" w:hAnsiTheme="majorBidi" w:cstheme="majorBidi"/>
          <w:color w:val="222222"/>
          <w:sz w:val="24"/>
          <w:szCs w:val="24"/>
          <w:shd w:val="clear" w:color="auto" w:fill="FFFFFF"/>
        </w:rPr>
        <w:t>4746.</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lastRenderedPageBreak/>
        <w:t xml:space="preserve">Ibrahim, A. A., Ibrahim, Y. A., </w:t>
      </w:r>
      <w:proofErr w:type="spellStart"/>
      <w:r w:rsidRPr="00365541">
        <w:rPr>
          <w:rFonts w:asciiTheme="majorBidi" w:hAnsiTheme="majorBidi" w:cstheme="majorBidi"/>
          <w:color w:val="222222"/>
          <w:sz w:val="24"/>
          <w:szCs w:val="24"/>
          <w:shd w:val="clear" w:color="auto" w:fill="FFFFFF"/>
        </w:rPr>
        <w:t>Darwish</w:t>
      </w:r>
      <w:proofErr w:type="spellEnd"/>
      <w:r w:rsidRPr="00365541">
        <w:rPr>
          <w:rFonts w:asciiTheme="majorBidi" w:hAnsiTheme="majorBidi" w:cstheme="majorBidi"/>
          <w:color w:val="222222"/>
          <w:sz w:val="24"/>
          <w:szCs w:val="24"/>
          <w:shd w:val="clear" w:color="auto" w:fill="FFFFFF"/>
        </w:rPr>
        <w:t xml:space="preserve">, E. A., &amp; </w:t>
      </w:r>
      <w:proofErr w:type="spellStart"/>
      <w:r w:rsidRPr="00365541">
        <w:rPr>
          <w:rFonts w:asciiTheme="majorBidi" w:hAnsiTheme="majorBidi" w:cstheme="majorBidi"/>
          <w:color w:val="222222"/>
          <w:sz w:val="24"/>
          <w:szCs w:val="24"/>
          <w:shd w:val="clear" w:color="auto" w:fill="FFFFFF"/>
        </w:rPr>
        <w:t>Khater</w:t>
      </w:r>
      <w:proofErr w:type="spellEnd"/>
      <w:r w:rsidRPr="00365541">
        <w:rPr>
          <w:rFonts w:asciiTheme="majorBidi" w:hAnsiTheme="majorBidi" w:cstheme="majorBidi"/>
          <w:color w:val="222222"/>
          <w:sz w:val="24"/>
          <w:szCs w:val="24"/>
          <w:shd w:val="clear" w:color="auto" w:fill="FFFFFF"/>
        </w:rPr>
        <w:t xml:space="preserve">, N. H. (2019). Prevalence of cerebral </w:t>
      </w:r>
      <w:proofErr w:type="spellStart"/>
      <w:r w:rsidRPr="00365541">
        <w:rPr>
          <w:rFonts w:asciiTheme="majorBidi" w:hAnsiTheme="majorBidi" w:cstheme="majorBidi"/>
          <w:color w:val="222222"/>
          <w:sz w:val="24"/>
          <w:szCs w:val="24"/>
          <w:shd w:val="clear" w:color="auto" w:fill="FFFFFF"/>
        </w:rPr>
        <w:t>microbleeds</w:t>
      </w:r>
      <w:proofErr w:type="spellEnd"/>
      <w:r w:rsidRPr="00365541">
        <w:rPr>
          <w:rFonts w:asciiTheme="majorBidi" w:hAnsiTheme="majorBidi" w:cstheme="majorBidi"/>
          <w:color w:val="222222"/>
          <w:sz w:val="24"/>
          <w:szCs w:val="24"/>
          <w:shd w:val="clear" w:color="auto" w:fill="FFFFFF"/>
        </w:rPr>
        <w:t xml:space="preserve"> and other cardiovascular risk factors in elderly patients with acute ischemic stroke. </w:t>
      </w:r>
      <w:r w:rsidRPr="00365541">
        <w:rPr>
          <w:rFonts w:asciiTheme="majorBidi" w:hAnsiTheme="majorBidi" w:cstheme="majorBidi"/>
          <w:i/>
          <w:iCs/>
          <w:color w:val="222222"/>
          <w:sz w:val="24"/>
          <w:szCs w:val="24"/>
          <w:shd w:val="clear" w:color="auto" w:fill="FFFFFF"/>
        </w:rPr>
        <w:t>Egyptian Journal of Radiology and Nuclear Medicine</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50</w:t>
      </w:r>
      <w:r w:rsidRPr="00365541">
        <w:rPr>
          <w:rFonts w:asciiTheme="majorBidi" w:hAnsiTheme="majorBidi" w:cstheme="majorBidi"/>
          <w:color w:val="222222"/>
          <w:sz w:val="24"/>
          <w:szCs w:val="24"/>
          <w:shd w:val="clear" w:color="auto" w:fill="FFFFFF"/>
        </w:rPr>
        <w:t>, 1-</w:t>
      </w:r>
      <w:proofErr w:type="gramStart"/>
      <w:r w:rsidRPr="00365541">
        <w:rPr>
          <w:rFonts w:asciiTheme="majorBidi" w:hAnsiTheme="majorBidi" w:cstheme="majorBidi"/>
          <w:color w:val="222222"/>
          <w:sz w:val="24"/>
          <w:szCs w:val="24"/>
          <w:shd w:val="clear" w:color="auto" w:fill="FFFFFF"/>
        </w:rPr>
        <w:t>8.</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Ibrahim, R. R., </w:t>
      </w:r>
      <w:proofErr w:type="spellStart"/>
      <w:r w:rsidRPr="00365541">
        <w:rPr>
          <w:rFonts w:asciiTheme="majorBidi" w:hAnsiTheme="majorBidi" w:cstheme="majorBidi"/>
          <w:color w:val="222222"/>
          <w:sz w:val="24"/>
          <w:szCs w:val="24"/>
          <w:shd w:val="clear" w:color="auto" w:fill="FFFFFF"/>
        </w:rPr>
        <w:t>Ghoneim</w:t>
      </w:r>
      <w:proofErr w:type="spellEnd"/>
      <w:r w:rsidRPr="00365541">
        <w:rPr>
          <w:rFonts w:asciiTheme="majorBidi" w:hAnsiTheme="majorBidi" w:cstheme="majorBidi"/>
          <w:color w:val="222222"/>
          <w:sz w:val="24"/>
          <w:szCs w:val="24"/>
          <w:shd w:val="clear" w:color="auto" w:fill="FFFFFF"/>
        </w:rPr>
        <w:t xml:space="preserve">, K. T., </w:t>
      </w:r>
      <w:proofErr w:type="spellStart"/>
      <w:r w:rsidRPr="00365541">
        <w:rPr>
          <w:rFonts w:asciiTheme="majorBidi" w:hAnsiTheme="majorBidi" w:cstheme="majorBidi"/>
          <w:color w:val="222222"/>
          <w:sz w:val="24"/>
          <w:szCs w:val="24"/>
          <w:shd w:val="clear" w:color="auto" w:fill="FFFFFF"/>
        </w:rPr>
        <w:t>Ghoneim</w:t>
      </w:r>
      <w:proofErr w:type="spellEnd"/>
      <w:r w:rsidRPr="00365541">
        <w:rPr>
          <w:rFonts w:asciiTheme="majorBidi" w:hAnsiTheme="majorBidi" w:cstheme="majorBidi"/>
          <w:color w:val="222222"/>
          <w:sz w:val="24"/>
          <w:szCs w:val="24"/>
          <w:shd w:val="clear" w:color="auto" w:fill="FFFFFF"/>
        </w:rPr>
        <w:t xml:space="preserve">, S. M., </w:t>
      </w:r>
      <w:proofErr w:type="spellStart"/>
      <w:r w:rsidRPr="00365541">
        <w:rPr>
          <w:rFonts w:asciiTheme="majorBidi" w:hAnsiTheme="majorBidi" w:cstheme="majorBidi"/>
          <w:color w:val="222222"/>
          <w:sz w:val="24"/>
          <w:szCs w:val="24"/>
          <w:shd w:val="clear" w:color="auto" w:fill="FFFFFF"/>
        </w:rPr>
        <w:t>Farag</w:t>
      </w:r>
      <w:proofErr w:type="spellEnd"/>
      <w:r w:rsidRPr="00365541">
        <w:rPr>
          <w:rFonts w:asciiTheme="majorBidi" w:hAnsiTheme="majorBidi" w:cstheme="majorBidi"/>
          <w:color w:val="222222"/>
          <w:sz w:val="24"/>
          <w:szCs w:val="24"/>
          <w:shd w:val="clear" w:color="auto" w:fill="FFFFFF"/>
        </w:rPr>
        <w:t xml:space="preserve">, E. S. M., &amp; </w:t>
      </w:r>
      <w:proofErr w:type="spellStart"/>
      <w:r w:rsidRPr="00365541">
        <w:rPr>
          <w:rFonts w:asciiTheme="majorBidi" w:hAnsiTheme="majorBidi" w:cstheme="majorBidi"/>
          <w:color w:val="222222"/>
          <w:sz w:val="24"/>
          <w:szCs w:val="24"/>
          <w:shd w:val="clear" w:color="auto" w:fill="FFFFFF"/>
        </w:rPr>
        <w:t>Salama</w:t>
      </w:r>
      <w:proofErr w:type="spellEnd"/>
      <w:r w:rsidRPr="00365541">
        <w:rPr>
          <w:rFonts w:asciiTheme="majorBidi" w:hAnsiTheme="majorBidi" w:cstheme="majorBidi"/>
          <w:color w:val="222222"/>
          <w:sz w:val="24"/>
          <w:szCs w:val="24"/>
          <w:shd w:val="clear" w:color="auto" w:fill="FFFFFF"/>
        </w:rPr>
        <w:t>, A. E. (2022). Non-Traditional Predictors for Occurrence and Severity of Premature Atherosclerosis in Acute Coronary Syndrome. </w:t>
      </w:r>
      <w:r w:rsidRPr="00365541">
        <w:rPr>
          <w:rFonts w:asciiTheme="majorBidi" w:hAnsiTheme="majorBidi" w:cstheme="majorBidi"/>
          <w:i/>
          <w:iCs/>
          <w:color w:val="222222"/>
          <w:sz w:val="24"/>
          <w:szCs w:val="24"/>
          <w:shd w:val="clear" w:color="auto" w:fill="FFFFFF"/>
        </w:rPr>
        <w:t>The Egyptian Journal of Hospital Medicine</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88</w:t>
      </w:r>
      <w:r w:rsidRPr="00365541">
        <w:rPr>
          <w:rFonts w:asciiTheme="majorBidi" w:hAnsiTheme="majorBidi" w:cstheme="majorBidi"/>
          <w:color w:val="222222"/>
          <w:sz w:val="24"/>
          <w:szCs w:val="24"/>
          <w:shd w:val="clear" w:color="auto" w:fill="FFFFFF"/>
        </w:rPr>
        <w:t>(1), 2948-</w:t>
      </w:r>
      <w:proofErr w:type="gramStart"/>
      <w:r w:rsidRPr="00365541">
        <w:rPr>
          <w:rFonts w:asciiTheme="majorBidi" w:hAnsiTheme="majorBidi" w:cstheme="majorBidi"/>
          <w:color w:val="222222"/>
          <w:sz w:val="24"/>
          <w:szCs w:val="24"/>
          <w:shd w:val="clear" w:color="auto" w:fill="FFFFFF"/>
        </w:rPr>
        <w:t>2954.</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Kamal, D., </w:t>
      </w:r>
      <w:proofErr w:type="spellStart"/>
      <w:r w:rsidRPr="00365541">
        <w:rPr>
          <w:rFonts w:asciiTheme="majorBidi" w:hAnsiTheme="majorBidi" w:cstheme="majorBidi"/>
          <w:color w:val="222222"/>
          <w:sz w:val="24"/>
          <w:szCs w:val="24"/>
          <w:shd w:val="clear" w:color="auto" w:fill="FFFFFF"/>
        </w:rPr>
        <w:t>Abd</w:t>
      </w:r>
      <w:proofErr w:type="spellEnd"/>
      <w:r w:rsidRPr="00365541">
        <w:rPr>
          <w:rFonts w:asciiTheme="majorBidi" w:hAnsiTheme="majorBidi" w:cstheme="majorBidi"/>
          <w:color w:val="222222"/>
          <w:sz w:val="24"/>
          <w:szCs w:val="24"/>
          <w:shd w:val="clear" w:color="auto" w:fill="FFFFFF"/>
        </w:rPr>
        <w:t xml:space="preserve"> </w:t>
      </w:r>
      <w:proofErr w:type="spellStart"/>
      <w:r w:rsidRPr="00365541">
        <w:rPr>
          <w:rFonts w:asciiTheme="majorBidi" w:hAnsiTheme="majorBidi" w:cstheme="majorBidi"/>
          <w:color w:val="222222"/>
          <w:sz w:val="24"/>
          <w:szCs w:val="24"/>
          <w:shd w:val="clear" w:color="auto" w:fill="FFFFFF"/>
        </w:rPr>
        <w:t>ElMoteleb</w:t>
      </w:r>
      <w:proofErr w:type="spellEnd"/>
      <w:r w:rsidRPr="00365541">
        <w:rPr>
          <w:rFonts w:asciiTheme="majorBidi" w:hAnsiTheme="majorBidi" w:cstheme="majorBidi"/>
          <w:color w:val="222222"/>
          <w:sz w:val="24"/>
          <w:szCs w:val="24"/>
          <w:shd w:val="clear" w:color="auto" w:fill="FFFFFF"/>
        </w:rPr>
        <w:t xml:space="preserve">, A. M., Samir, R., &amp; Saeed, M. (2018). </w:t>
      </w:r>
      <w:proofErr w:type="spellStart"/>
      <w:r w:rsidRPr="00365541">
        <w:rPr>
          <w:rFonts w:asciiTheme="majorBidi" w:hAnsiTheme="majorBidi" w:cstheme="majorBidi"/>
          <w:color w:val="222222"/>
          <w:sz w:val="24"/>
          <w:szCs w:val="24"/>
          <w:shd w:val="clear" w:color="auto" w:fill="FFFFFF"/>
        </w:rPr>
        <w:t>Epicardial</w:t>
      </w:r>
      <w:proofErr w:type="spellEnd"/>
      <w:r w:rsidRPr="00365541">
        <w:rPr>
          <w:rFonts w:asciiTheme="majorBidi" w:hAnsiTheme="majorBidi" w:cstheme="majorBidi"/>
          <w:color w:val="222222"/>
          <w:sz w:val="24"/>
          <w:szCs w:val="24"/>
          <w:shd w:val="clear" w:color="auto" w:fill="FFFFFF"/>
        </w:rPr>
        <w:t xml:space="preserve"> fat thickness can predict severity and </w:t>
      </w:r>
      <w:proofErr w:type="spellStart"/>
      <w:r w:rsidRPr="00365541">
        <w:rPr>
          <w:rFonts w:asciiTheme="majorBidi" w:hAnsiTheme="majorBidi" w:cstheme="majorBidi"/>
          <w:color w:val="222222"/>
          <w:sz w:val="24"/>
          <w:szCs w:val="24"/>
          <w:shd w:val="clear" w:color="auto" w:fill="FFFFFF"/>
        </w:rPr>
        <w:t>multivessel</w:t>
      </w:r>
      <w:proofErr w:type="spellEnd"/>
      <w:r w:rsidRPr="00365541">
        <w:rPr>
          <w:rFonts w:asciiTheme="majorBidi" w:hAnsiTheme="majorBidi" w:cstheme="majorBidi"/>
          <w:color w:val="222222"/>
          <w:sz w:val="24"/>
          <w:szCs w:val="24"/>
          <w:shd w:val="clear" w:color="auto" w:fill="FFFFFF"/>
        </w:rPr>
        <w:t xml:space="preserve"> distribution in Egyptian patients with atherosclerotic coronary artery stenosis. </w:t>
      </w:r>
      <w:r w:rsidRPr="00365541">
        <w:rPr>
          <w:rFonts w:asciiTheme="majorBidi" w:hAnsiTheme="majorBidi" w:cstheme="majorBidi"/>
          <w:i/>
          <w:iCs/>
          <w:color w:val="222222"/>
          <w:sz w:val="24"/>
          <w:szCs w:val="24"/>
          <w:shd w:val="clear" w:color="auto" w:fill="FFFFFF"/>
        </w:rPr>
        <w:t>The Egyptian Heart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70</w:t>
      </w:r>
      <w:r w:rsidRPr="00365541">
        <w:rPr>
          <w:rFonts w:asciiTheme="majorBidi" w:hAnsiTheme="majorBidi" w:cstheme="majorBidi"/>
          <w:color w:val="222222"/>
          <w:sz w:val="24"/>
          <w:szCs w:val="24"/>
          <w:shd w:val="clear" w:color="auto" w:fill="FFFFFF"/>
        </w:rPr>
        <w:t>(4), 323-</w:t>
      </w:r>
      <w:proofErr w:type="gramStart"/>
      <w:r w:rsidRPr="00365541">
        <w:rPr>
          <w:rFonts w:asciiTheme="majorBidi" w:hAnsiTheme="majorBidi" w:cstheme="majorBidi"/>
          <w:color w:val="222222"/>
          <w:sz w:val="24"/>
          <w:szCs w:val="24"/>
          <w:shd w:val="clear" w:color="auto" w:fill="FFFFFF"/>
        </w:rPr>
        <w:t>327.</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Khalfallah</w:t>
      </w:r>
      <w:proofErr w:type="spellEnd"/>
      <w:r w:rsidRPr="00365541">
        <w:rPr>
          <w:rFonts w:asciiTheme="majorBidi" w:hAnsiTheme="majorBidi" w:cstheme="majorBidi"/>
          <w:color w:val="222222"/>
          <w:sz w:val="24"/>
          <w:szCs w:val="24"/>
          <w:shd w:val="clear" w:color="auto" w:fill="FFFFFF"/>
        </w:rPr>
        <w:t xml:space="preserve">, M., Habib, M., </w:t>
      </w:r>
      <w:proofErr w:type="spellStart"/>
      <w:r w:rsidRPr="00365541">
        <w:rPr>
          <w:rFonts w:asciiTheme="majorBidi" w:hAnsiTheme="majorBidi" w:cstheme="majorBidi"/>
          <w:color w:val="222222"/>
          <w:sz w:val="24"/>
          <w:szCs w:val="24"/>
          <w:shd w:val="clear" w:color="auto" w:fill="FFFFFF"/>
        </w:rPr>
        <w:t>Kishk</w:t>
      </w:r>
      <w:proofErr w:type="spellEnd"/>
      <w:r w:rsidRPr="00365541">
        <w:rPr>
          <w:rFonts w:asciiTheme="majorBidi" w:hAnsiTheme="majorBidi" w:cstheme="majorBidi"/>
          <w:color w:val="222222"/>
          <w:sz w:val="24"/>
          <w:szCs w:val="24"/>
          <w:shd w:val="clear" w:color="auto" w:fill="FFFFFF"/>
        </w:rPr>
        <w:t xml:space="preserve">, A. M., Saeed, B., </w:t>
      </w:r>
      <w:proofErr w:type="spellStart"/>
      <w:r w:rsidRPr="00365541">
        <w:rPr>
          <w:rFonts w:asciiTheme="majorBidi" w:hAnsiTheme="majorBidi" w:cstheme="majorBidi"/>
          <w:color w:val="222222"/>
          <w:sz w:val="24"/>
          <w:szCs w:val="24"/>
          <w:shd w:val="clear" w:color="auto" w:fill="FFFFFF"/>
        </w:rPr>
        <w:t>Hemdan</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Eissa</w:t>
      </w:r>
      <w:proofErr w:type="spellEnd"/>
      <w:r w:rsidRPr="00365541">
        <w:rPr>
          <w:rFonts w:asciiTheme="majorBidi" w:hAnsiTheme="majorBidi" w:cstheme="majorBidi"/>
          <w:color w:val="222222"/>
          <w:sz w:val="24"/>
          <w:szCs w:val="24"/>
          <w:shd w:val="clear" w:color="auto" w:fill="FFFFFF"/>
        </w:rPr>
        <w:t xml:space="preserve">, A., ... &amp; </w:t>
      </w:r>
      <w:proofErr w:type="spellStart"/>
      <w:r w:rsidRPr="00365541">
        <w:rPr>
          <w:rFonts w:asciiTheme="majorBidi" w:hAnsiTheme="majorBidi" w:cstheme="majorBidi"/>
          <w:color w:val="222222"/>
          <w:sz w:val="24"/>
          <w:szCs w:val="24"/>
          <w:shd w:val="clear" w:color="auto" w:fill="FFFFFF"/>
        </w:rPr>
        <w:t>Elnagar</w:t>
      </w:r>
      <w:proofErr w:type="spellEnd"/>
      <w:r w:rsidRPr="00365541">
        <w:rPr>
          <w:rFonts w:asciiTheme="majorBidi" w:hAnsiTheme="majorBidi" w:cstheme="majorBidi"/>
          <w:color w:val="222222"/>
          <w:sz w:val="24"/>
          <w:szCs w:val="24"/>
          <w:shd w:val="clear" w:color="auto" w:fill="FFFFFF"/>
        </w:rPr>
        <w:t>, B. (2025). Atherosclerotic Cardiovascular Diseases in Middle Delta of Egypt: A Systematic Analysis of Risk Factors Associated with the Rising Burden of the Disease. </w:t>
      </w:r>
      <w:r w:rsidRPr="00365541">
        <w:rPr>
          <w:rFonts w:asciiTheme="majorBidi" w:hAnsiTheme="majorBidi" w:cstheme="majorBidi"/>
          <w:i/>
          <w:iCs/>
          <w:color w:val="222222"/>
          <w:sz w:val="24"/>
          <w:szCs w:val="24"/>
          <w:shd w:val="clear" w:color="auto" w:fill="FFFFFF"/>
        </w:rPr>
        <w:t>Global Heart</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20</w:t>
      </w:r>
      <w:r w:rsidRPr="00365541">
        <w:rPr>
          <w:rFonts w:asciiTheme="majorBidi" w:hAnsiTheme="majorBidi" w:cstheme="majorBidi"/>
          <w:color w:val="222222"/>
          <w:sz w:val="24"/>
          <w:szCs w:val="24"/>
          <w:shd w:val="clear" w:color="auto" w:fill="FFFFFF"/>
        </w:rPr>
        <w:t xml:space="preserve">(1), </w:t>
      </w:r>
      <w:proofErr w:type="gramStart"/>
      <w:r w:rsidRPr="00365541">
        <w:rPr>
          <w:rFonts w:asciiTheme="majorBidi" w:hAnsiTheme="majorBidi" w:cstheme="majorBidi"/>
          <w:color w:val="222222"/>
          <w:sz w:val="24"/>
          <w:szCs w:val="24"/>
          <w:shd w:val="clear" w:color="auto" w:fill="FFFFFF"/>
        </w:rPr>
        <w:t>11.</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Khedr</w:t>
      </w:r>
      <w:proofErr w:type="spellEnd"/>
      <w:r w:rsidRPr="00365541">
        <w:rPr>
          <w:rFonts w:asciiTheme="majorBidi" w:hAnsiTheme="majorBidi" w:cstheme="majorBidi"/>
          <w:color w:val="222222"/>
          <w:sz w:val="24"/>
          <w:szCs w:val="24"/>
          <w:shd w:val="clear" w:color="auto" w:fill="FFFFFF"/>
        </w:rPr>
        <w:t xml:space="preserve">, E., Tony, A. A., </w:t>
      </w:r>
      <w:proofErr w:type="spellStart"/>
      <w:r w:rsidRPr="00365541">
        <w:rPr>
          <w:rFonts w:asciiTheme="majorBidi" w:hAnsiTheme="majorBidi" w:cstheme="majorBidi"/>
          <w:color w:val="222222"/>
          <w:sz w:val="24"/>
          <w:szCs w:val="24"/>
          <w:shd w:val="clear" w:color="auto" w:fill="FFFFFF"/>
        </w:rPr>
        <w:t>Habeel</w:t>
      </w:r>
      <w:proofErr w:type="spellEnd"/>
      <w:r w:rsidRPr="00365541">
        <w:rPr>
          <w:rFonts w:asciiTheme="majorBidi" w:hAnsiTheme="majorBidi" w:cstheme="majorBidi"/>
          <w:color w:val="222222"/>
          <w:sz w:val="24"/>
          <w:szCs w:val="24"/>
          <w:shd w:val="clear" w:color="auto" w:fill="FFFFFF"/>
        </w:rPr>
        <w:t xml:space="preserve">, M., &amp; </w:t>
      </w:r>
      <w:proofErr w:type="spellStart"/>
      <w:r w:rsidRPr="00365541">
        <w:rPr>
          <w:rFonts w:asciiTheme="majorBidi" w:hAnsiTheme="majorBidi" w:cstheme="majorBidi"/>
          <w:color w:val="222222"/>
          <w:sz w:val="24"/>
          <w:szCs w:val="24"/>
          <w:shd w:val="clear" w:color="auto" w:fill="FFFFFF"/>
        </w:rPr>
        <w:t>Nasreldein</w:t>
      </w:r>
      <w:proofErr w:type="spellEnd"/>
      <w:r w:rsidRPr="00365541">
        <w:rPr>
          <w:rFonts w:asciiTheme="majorBidi" w:hAnsiTheme="majorBidi" w:cstheme="majorBidi"/>
          <w:color w:val="222222"/>
          <w:sz w:val="24"/>
          <w:szCs w:val="24"/>
          <w:shd w:val="clear" w:color="auto" w:fill="FFFFFF"/>
        </w:rPr>
        <w:t>, A. (2021). Frequency and risk factors of carotid artery disease among ischemic stroke patients in the south Egypt: hospital-based study. </w:t>
      </w:r>
      <w:r w:rsidRPr="00365541">
        <w:rPr>
          <w:rFonts w:asciiTheme="majorBidi" w:hAnsiTheme="majorBidi" w:cstheme="majorBidi"/>
          <w:i/>
          <w:iCs/>
          <w:color w:val="222222"/>
          <w:sz w:val="24"/>
          <w:szCs w:val="24"/>
          <w:shd w:val="clear" w:color="auto" w:fill="FFFFFF"/>
        </w:rPr>
        <w:t>The Egyptian Journal of Neurology, Psychiatry and Neurosurgery</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57</w:t>
      </w:r>
      <w:r w:rsidRPr="00365541">
        <w:rPr>
          <w:rFonts w:asciiTheme="majorBidi" w:hAnsiTheme="majorBidi" w:cstheme="majorBidi"/>
          <w:color w:val="222222"/>
          <w:sz w:val="24"/>
          <w:szCs w:val="24"/>
          <w:shd w:val="clear" w:color="auto" w:fill="FFFFFF"/>
        </w:rPr>
        <w:t>, 1-</w:t>
      </w:r>
      <w:proofErr w:type="gramStart"/>
      <w:r w:rsidRPr="00365541">
        <w:rPr>
          <w:rFonts w:asciiTheme="majorBidi" w:hAnsiTheme="majorBidi" w:cstheme="majorBidi"/>
          <w:color w:val="222222"/>
          <w:sz w:val="24"/>
          <w:szCs w:val="24"/>
          <w:shd w:val="clear" w:color="auto" w:fill="FFFFFF"/>
        </w:rPr>
        <w:t>6.</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Laimoud</w:t>
      </w:r>
      <w:proofErr w:type="spellEnd"/>
      <w:r w:rsidRPr="00365541">
        <w:rPr>
          <w:rFonts w:asciiTheme="majorBidi" w:hAnsiTheme="majorBidi" w:cstheme="majorBidi"/>
          <w:color w:val="222222"/>
          <w:sz w:val="24"/>
          <w:szCs w:val="24"/>
          <w:shd w:val="clear" w:color="auto" w:fill="FFFFFF"/>
        </w:rPr>
        <w:t xml:space="preserve">, M., </w:t>
      </w:r>
      <w:proofErr w:type="spellStart"/>
      <w:r w:rsidRPr="00365541">
        <w:rPr>
          <w:rFonts w:asciiTheme="majorBidi" w:hAnsiTheme="majorBidi" w:cstheme="majorBidi"/>
          <w:color w:val="222222"/>
          <w:sz w:val="24"/>
          <w:szCs w:val="24"/>
          <w:shd w:val="clear" w:color="auto" w:fill="FFFFFF"/>
        </w:rPr>
        <w:t>Faris</w:t>
      </w:r>
      <w:proofErr w:type="spellEnd"/>
      <w:r w:rsidRPr="00365541">
        <w:rPr>
          <w:rFonts w:asciiTheme="majorBidi" w:hAnsiTheme="majorBidi" w:cstheme="majorBidi"/>
          <w:color w:val="222222"/>
          <w:sz w:val="24"/>
          <w:szCs w:val="24"/>
          <w:shd w:val="clear" w:color="auto" w:fill="FFFFFF"/>
        </w:rPr>
        <w:t xml:space="preserve">, F., &amp; </w:t>
      </w:r>
      <w:proofErr w:type="spellStart"/>
      <w:r w:rsidRPr="00365541">
        <w:rPr>
          <w:rFonts w:asciiTheme="majorBidi" w:hAnsiTheme="majorBidi" w:cstheme="majorBidi"/>
          <w:color w:val="222222"/>
          <w:sz w:val="24"/>
          <w:szCs w:val="24"/>
          <w:shd w:val="clear" w:color="auto" w:fill="FFFFFF"/>
        </w:rPr>
        <w:t>Elghawaby</w:t>
      </w:r>
      <w:proofErr w:type="spellEnd"/>
      <w:r w:rsidRPr="00365541">
        <w:rPr>
          <w:rFonts w:asciiTheme="majorBidi" w:hAnsiTheme="majorBidi" w:cstheme="majorBidi"/>
          <w:color w:val="222222"/>
          <w:sz w:val="24"/>
          <w:szCs w:val="24"/>
          <w:shd w:val="clear" w:color="auto" w:fill="FFFFFF"/>
        </w:rPr>
        <w:t>, H. (2018). Intravascular evaluation of coronary atherosclerotic lesions among Egyptian diabetic patients with acute coronary syndromes. </w:t>
      </w:r>
      <w:r w:rsidRPr="00365541">
        <w:rPr>
          <w:rFonts w:asciiTheme="majorBidi" w:hAnsiTheme="majorBidi" w:cstheme="majorBidi"/>
          <w:i/>
          <w:iCs/>
          <w:color w:val="222222"/>
          <w:sz w:val="24"/>
          <w:szCs w:val="24"/>
          <w:shd w:val="clear" w:color="auto" w:fill="FFFFFF"/>
        </w:rPr>
        <w:t>The Egyptian Heart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70</w:t>
      </w:r>
      <w:r w:rsidRPr="00365541">
        <w:rPr>
          <w:rFonts w:asciiTheme="majorBidi" w:hAnsiTheme="majorBidi" w:cstheme="majorBidi"/>
          <w:color w:val="222222"/>
          <w:sz w:val="24"/>
          <w:szCs w:val="24"/>
          <w:shd w:val="clear" w:color="auto" w:fill="FFFFFF"/>
        </w:rPr>
        <w:t>(4), 237-</w:t>
      </w:r>
      <w:proofErr w:type="gramStart"/>
      <w:r w:rsidRPr="00365541">
        <w:rPr>
          <w:rFonts w:asciiTheme="majorBidi" w:hAnsiTheme="majorBidi" w:cstheme="majorBidi"/>
          <w:color w:val="222222"/>
          <w:sz w:val="24"/>
          <w:szCs w:val="24"/>
          <w:shd w:val="clear" w:color="auto" w:fill="FFFFFF"/>
        </w:rPr>
        <w:t>241.</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M El Sayed, A., M Ibrahim, W., M </w:t>
      </w:r>
      <w:proofErr w:type="spellStart"/>
      <w:r w:rsidRPr="00365541">
        <w:rPr>
          <w:rFonts w:asciiTheme="majorBidi" w:hAnsiTheme="majorBidi" w:cstheme="majorBidi"/>
          <w:color w:val="222222"/>
          <w:sz w:val="24"/>
          <w:szCs w:val="24"/>
          <w:shd w:val="clear" w:color="auto" w:fill="FFFFFF"/>
        </w:rPr>
        <w:t>Elbadawy</w:t>
      </w:r>
      <w:proofErr w:type="spellEnd"/>
      <w:r w:rsidRPr="00365541">
        <w:rPr>
          <w:rFonts w:asciiTheme="majorBidi" w:hAnsiTheme="majorBidi" w:cstheme="majorBidi"/>
          <w:color w:val="222222"/>
          <w:sz w:val="24"/>
          <w:szCs w:val="24"/>
          <w:shd w:val="clear" w:color="auto" w:fill="FFFFFF"/>
        </w:rPr>
        <w:t xml:space="preserve">, A., H Mohammed, S., &amp; O </w:t>
      </w:r>
      <w:proofErr w:type="spellStart"/>
      <w:r w:rsidRPr="00365541">
        <w:rPr>
          <w:rFonts w:asciiTheme="majorBidi" w:hAnsiTheme="majorBidi" w:cstheme="majorBidi"/>
          <w:color w:val="222222"/>
          <w:sz w:val="24"/>
          <w:szCs w:val="24"/>
          <w:shd w:val="clear" w:color="auto" w:fill="FFFFFF"/>
        </w:rPr>
        <w:t>Abd</w:t>
      </w:r>
      <w:proofErr w:type="spellEnd"/>
      <w:r w:rsidRPr="00365541">
        <w:rPr>
          <w:rFonts w:asciiTheme="majorBidi" w:hAnsiTheme="majorBidi" w:cstheme="majorBidi"/>
          <w:color w:val="222222"/>
          <w:sz w:val="24"/>
          <w:szCs w:val="24"/>
          <w:shd w:val="clear" w:color="auto" w:fill="FFFFFF"/>
        </w:rPr>
        <w:t xml:space="preserve"> </w:t>
      </w:r>
      <w:proofErr w:type="spellStart"/>
      <w:r w:rsidRPr="00365541">
        <w:rPr>
          <w:rFonts w:asciiTheme="majorBidi" w:hAnsiTheme="majorBidi" w:cstheme="majorBidi"/>
          <w:color w:val="222222"/>
          <w:sz w:val="24"/>
          <w:szCs w:val="24"/>
          <w:shd w:val="clear" w:color="auto" w:fill="FFFFFF"/>
        </w:rPr>
        <w:t>ElMoneim</w:t>
      </w:r>
      <w:proofErr w:type="spellEnd"/>
      <w:r w:rsidRPr="00365541">
        <w:rPr>
          <w:rFonts w:asciiTheme="majorBidi" w:hAnsiTheme="majorBidi" w:cstheme="majorBidi"/>
          <w:color w:val="222222"/>
          <w:sz w:val="24"/>
          <w:szCs w:val="24"/>
          <w:shd w:val="clear" w:color="auto" w:fill="FFFFFF"/>
        </w:rPr>
        <w:t xml:space="preserve">, R. (2024). Impact of Sex and Gender Differences on Cardiovascular Risk Factors and Cardiovascular Complications in Diabetic Patients in </w:t>
      </w:r>
      <w:proofErr w:type="spellStart"/>
      <w:r w:rsidRPr="00365541">
        <w:rPr>
          <w:rFonts w:asciiTheme="majorBidi" w:hAnsiTheme="majorBidi" w:cstheme="majorBidi"/>
          <w:color w:val="222222"/>
          <w:sz w:val="24"/>
          <w:szCs w:val="24"/>
          <w:shd w:val="clear" w:color="auto" w:fill="FFFFFF"/>
        </w:rPr>
        <w:t>Benha</w:t>
      </w:r>
      <w:proofErr w:type="spellEnd"/>
      <w:r w:rsidRPr="00365541">
        <w:rPr>
          <w:rFonts w:asciiTheme="majorBidi" w:hAnsiTheme="majorBidi" w:cstheme="majorBidi"/>
          <w:color w:val="222222"/>
          <w:sz w:val="24"/>
          <w:szCs w:val="24"/>
          <w:shd w:val="clear" w:color="auto" w:fill="FFFFFF"/>
        </w:rPr>
        <w:t xml:space="preserve"> City, Egypt: A Hospital-Based Cross-Sectional Study. </w:t>
      </w:r>
      <w:proofErr w:type="spellStart"/>
      <w:r w:rsidRPr="00365541">
        <w:rPr>
          <w:rFonts w:asciiTheme="majorBidi" w:hAnsiTheme="majorBidi" w:cstheme="majorBidi"/>
          <w:i/>
          <w:iCs/>
          <w:color w:val="222222"/>
          <w:sz w:val="24"/>
          <w:szCs w:val="24"/>
          <w:shd w:val="clear" w:color="auto" w:fill="FFFFFF"/>
        </w:rPr>
        <w:t>Benha</w:t>
      </w:r>
      <w:proofErr w:type="spellEnd"/>
      <w:r w:rsidRPr="00365541">
        <w:rPr>
          <w:rFonts w:asciiTheme="majorBidi" w:hAnsiTheme="majorBidi" w:cstheme="majorBidi"/>
          <w:i/>
          <w:iCs/>
          <w:color w:val="222222"/>
          <w:sz w:val="24"/>
          <w:szCs w:val="24"/>
          <w:shd w:val="clear" w:color="auto" w:fill="FFFFFF"/>
        </w:rPr>
        <w:t xml:space="preserve"> Medical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41</w:t>
      </w:r>
      <w:r w:rsidRPr="00365541">
        <w:rPr>
          <w:rFonts w:asciiTheme="majorBidi" w:hAnsiTheme="majorBidi" w:cstheme="majorBidi"/>
          <w:color w:val="222222"/>
          <w:sz w:val="24"/>
          <w:szCs w:val="24"/>
          <w:shd w:val="clear" w:color="auto" w:fill="FFFFFF"/>
        </w:rPr>
        <w:t>(1), 130-</w:t>
      </w:r>
      <w:proofErr w:type="gramStart"/>
      <w:r w:rsidRPr="00365541">
        <w:rPr>
          <w:rFonts w:asciiTheme="majorBidi" w:hAnsiTheme="majorBidi" w:cstheme="majorBidi"/>
          <w:color w:val="222222"/>
          <w:sz w:val="24"/>
          <w:szCs w:val="24"/>
          <w:shd w:val="clear" w:color="auto" w:fill="FFFFFF"/>
        </w:rPr>
        <w:t>140.</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sz w:val="24"/>
          <w:szCs w:val="24"/>
        </w:rPr>
      </w:pPr>
      <w:r w:rsidRPr="00365541">
        <w:rPr>
          <w:rFonts w:asciiTheme="majorBidi" w:hAnsiTheme="majorBidi" w:cstheme="majorBidi"/>
          <w:sz w:val="24"/>
          <w:szCs w:val="24"/>
        </w:rPr>
        <w:t xml:space="preserve">Muhammed, A., </w:t>
      </w:r>
      <w:proofErr w:type="spellStart"/>
      <w:r w:rsidRPr="00365541">
        <w:rPr>
          <w:rFonts w:asciiTheme="majorBidi" w:hAnsiTheme="majorBidi" w:cstheme="majorBidi"/>
          <w:sz w:val="24"/>
          <w:szCs w:val="24"/>
        </w:rPr>
        <w:t>Zaki</w:t>
      </w:r>
      <w:proofErr w:type="spellEnd"/>
      <w:r w:rsidRPr="00365541">
        <w:rPr>
          <w:rFonts w:asciiTheme="majorBidi" w:hAnsiTheme="majorBidi" w:cstheme="majorBidi"/>
          <w:sz w:val="24"/>
          <w:szCs w:val="24"/>
        </w:rPr>
        <w:t xml:space="preserve">, M. T., </w:t>
      </w:r>
      <w:proofErr w:type="spellStart"/>
      <w:r w:rsidRPr="00365541">
        <w:rPr>
          <w:rFonts w:asciiTheme="majorBidi" w:hAnsiTheme="majorBidi" w:cstheme="majorBidi"/>
          <w:sz w:val="24"/>
          <w:szCs w:val="24"/>
        </w:rPr>
        <w:t>Elserafy</w:t>
      </w:r>
      <w:proofErr w:type="spellEnd"/>
      <w:r w:rsidRPr="00365541">
        <w:rPr>
          <w:rFonts w:asciiTheme="majorBidi" w:hAnsiTheme="majorBidi" w:cstheme="majorBidi"/>
          <w:sz w:val="24"/>
          <w:szCs w:val="24"/>
        </w:rPr>
        <w:t>, A. S., &amp; Amin, S. A. (2019). Correlation between prediabetes and coronary artery disease severity in patients undergoing elective coronary angiography. The Egyptian Heart Journal, 71, 1-</w:t>
      </w:r>
      <w:proofErr w:type="gramStart"/>
      <w:r w:rsidRPr="00365541">
        <w:rPr>
          <w:rFonts w:asciiTheme="majorBidi" w:hAnsiTheme="majorBidi" w:cstheme="majorBidi"/>
          <w:sz w:val="24"/>
          <w:szCs w:val="24"/>
        </w:rPr>
        <w:t>7.</w:t>
      </w:r>
      <w:r w:rsidRPr="00365541">
        <w:rPr>
          <w:rFonts w:asciiTheme="majorBidi" w:hAnsiTheme="majorBidi" w:cstheme="majorBidi"/>
          <w:sz w:val="24"/>
          <w:szCs w:val="24"/>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 xml:space="preserve">Ramadan, A., </w:t>
      </w:r>
      <w:proofErr w:type="spellStart"/>
      <w:r w:rsidRPr="00365541">
        <w:rPr>
          <w:rFonts w:asciiTheme="majorBidi" w:hAnsiTheme="majorBidi" w:cstheme="majorBidi"/>
          <w:color w:val="222222"/>
          <w:sz w:val="24"/>
          <w:szCs w:val="24"/>
          <w:shd w:val="clear" w:color="auto" w:fill="FFFFFF"/>
        </w:rPr>
        <w:t>Aboeldahab</w:t>
      </w:r>
      <w:proofErr w:type="spellEnd"/>
      <w:r w:rsidRPr="00365541">
        <w:rPr>
          <w:rFonts w:asciiTheme="majorBidi" w:hAnsiTheme="majorBidi" w:cstheme="majorBidi"/>
          <w:color w:val="222222"/>
          <w:sz w:val="24"/>
          <w:szCs w:val="24"/>
          <w:shd w:val="clear" w:color="auto" w:fill="FFFFFF"/>
        </w:rPr>
        <w:t xml:space="preserve">, H., Bashir, M. N., </w:t>
      </w:r>
      <w:proofErr w:type="spellStart"/>
      <w:r w:rsidRPr="00365541">
        <w:rPr>
          <w:rFonts w:asciiTheme="majorBidi" w:hAnsiTheme="majorBidi" w:cstheme="majorBidi"/>
          <w:color w:val="222222"/>
          <w:sz w:val="24"/>
          <w:szCs w:val="24"/>
          <w:shd w:val="clear" w:color="auto" w:fill="FFFFFF"/>
        </w:rPr>
        <w:t>Belal</w:t>
      </w:r>
      <w:proofErr w:type="spellEnd"/>
      <w:r w:rsidRPr="00365541">
        <w:rPr>
          <w:rFonts w:asciiTheme="majorBidi" w:hAnsiTheme="majorBidi" w:cstheme="majorBidi"/>
          <w:color w:val="222222"/>
          <w:sz w:val="24"/>
          <w:szCs w:val="24"/>
          <w:shd w:val="clear" w:color="auto" w:fill="FFFFFF"/>
        </w:rPr>
        <w:t xml:space="preserve">, M. M., </w:t>
      </w:r>
      <w:proofErr w:type="spellStart"/>
      <w:r w:rsidRPr="00365541">
        <w:rPr>
          <w:rFonts w:asciiTheme="majorBidi" w:hAnsiTheme="majorBidi" w:cstheme="majorBidi"/>
          <w:color w:val="222222"/>
          <w:sz w:val="24"/>
          <w:szCs w:val="24"/>
          <w:shd w:val="clear" w:color="auto" w:fill="FFFFFF"/>
        </w:rPr>
        <w:t>Wageeh</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Atia</w:t>
      </w:r>
      <w:proofErr w:type="spellEnd"/>
      <w:r w:rsidRPr="00365541">
        <w:rPr>
          <w:rFonts w:asciiTheme="majorBidi" w:hAnsiTheme="majorBidi" w:cstheme="majorBidi"/>
          <w:color w:val="222222"/>
          <w:sz w:val="24"/>
          <w:szCs w:val="24"/>
          <w:shd w:val="clear" w:color="auto" w:fill="FFFFFF"/>
        </w:rPr>
        <w:t xml:space="preserve">, A., ... &amp; AK, M. (2024). Evaluating knowledge, attitude, and physical activity levels related to cardiovascular </w:t>
      </w:r>
      <w:r w:rsidRPr="00365541">
        <w:rPr>
          <w:rFonts w:asciiTheme="majorBidi" w:hAnsiTheme="majorBidi" w:cstheme="majorBidi"/>
          <w:color w:val="222222"/>
          <w:sz w:val="24"/>
          <w:szCs w:val="24"/>
          <w:shd w:val="clear" w:color="auto" w:fill="FFFFFF"/>
        </w:rPr>
        <w:lastRenderedPageBreak/>
        <w:t>disease in Egyptian adults with and without cardiovascular disease: a community-based cross-sectional study. </w:t>
      </w:r>
      <w:r w:rsidRPr="00365541">
        <w:rPr>
          <w:rFonts w:asciiTheme="majorBidi" w:hAnsiTheme="majorBidi" w:cstheme="majorBidi"/>
          <w:i/>
          <w:iCs/>
          <w:color w:val="222222"/>
          <w:sz w:val="24"/>
          <w:szCs w:val="24"/>
          <w:shd w:val="clear" w:color="auto" w:fill="FFFFFF"/>
        </w:rPr>
        <w:t>BMC Public Health</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24</w:t>
      </w:r>
      <w:r w:rsidRPr="00365541">
        <w:rPr>
          <w:rFonts w:asciiTheme="majorBidi" w:hAnsiTheme="majorBidi" w:cstheme="majorBidi"/>
          <w:color w:val="222222"/>
          <w:sz w:val="24"/>
          <w:szCs w:val="24"/>
          <w:shd w:val="clear" w:color="auto" w:fill="FFFFFF"/>
        </w:rPr>
        <w:t xml:space="preserve">(1), </w:t>
      </w:r>
      <w:proofErr w:type="gramStart"/>
      <w:r w:rsidRPr="00365541">
        <w:rPr>
          <w:rFonts w:asciiTheme="majorBidi" w:hAnsiTheme="majorBidi" w:cstheme="majorBidi"/>
          <w:color w:val="222222"/>
          <w:sz w:val="24"/>
          <w:szCs w:val="24"/>
          <w:shd w:val="clear" w:color="auto" w:fill="FFFFFF"/>
        </w:rPr>
        <w:t>1107.</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Reda</w:t>
      </w:r>
      <w:proofErr w:type="spellEnd"/>
      <w:r w:rsidRPr="00365541">
        <w:rPr>
          <w:rFonts w:asciiTheme="majorBidi" w:hAnsiTheme="majorBidi" w:cstheme="majorBidi"/>
          <w:color w:val="222222"/>
          <w:sz w:val="24"/>
          <w:szCs w:val="24"/>
          <w:shd w:val="clear" w:color="auto" w:fill="FFFFFF"/>
        </w:rPr>
        <w:t xml:space="preserve">, A., Ashraf, M., </w:t>
      </w:r>
      <w:proofErr w:type="spellStart"/>
      <w:r w:rsidRPr="00365541">
        <w:rPr>
          <w:rFonts w:asciiTheme="majorBidi" w:hAnsiTheme="majorBidi" w:cstheme="majorBidi"/>
          <w:color w:val="222222"/>
          <w:sz w:val="24"/>
          <w:szCs w:val="24"/>
          <w:shd w:val="clear" w:color="auto" w:fill="FFFFFF"/>
        </w:rPr>
        <w:t>Soliman</w:t>
      </w:r>
      <w:proofErr w:type="spellEnd"/>
      <w:r w:rsidRPr="00365541">
        <w:rPr>
          <w:rFonts w:asciiTheme="majorBidi" w:hAnsiTheme="majorBidi" w:cstheme="majorBidi"/>
          <w:color w:val="222222"/>
          <w:sz w:val="24"/>
          <w:szCs w:val="24"/>
          <w:shd w:val="clear" w:color="auto" w:fill="FFFFFF"/>
        </w:rPr>
        <w:t xml:space="preserve">, M., </w:t>
      </w:r>
      <w:proofErr w:type="spellStart"/>
      <w:r w:rsidRPr="00365541">
        <w:rPr>
          <w:rFonts w:asciiTheme="majorBidi" w:hAnsiTheme="majorBidi" w:cstheme="majorBidi"/>
          <w:color w:val="222222"/>
          <w:sz w:val="24"/>
          <w:szCs w:val="24"/>
          <w:shd w:val="clear" w:color="auto" w:fill="FFFFFF"/>
        </w:rPr>
        <w:t>Ragy</w:t>
      </w:r>
      <w:proofErr w:type="spellEnd"/>
      <w:r w:rsidRPr="00365541">
        <w:rPr>
          <w:rFonts w:asciiTheme="majorBidi" w:hAnsiTheme="majorBidi" w:cstheme="majorBidi"/>
          <w:color w:val="222222"/>
          <w:sz w:val="24"/>
          <w:szCs w:val="24"/>
          <w:shd w:val="clear" w:color="auto" w:fill="FFFFFF"/>
        </w:rPr>
        <w:t xml:space="preserve">, H., El </w:t>
      </w:r>
      <w:proofErr w:type="spellStart"/>
      <w:r w:rsidRPr="00365541">
        <w:rPr>
          <w:rFonts w:asciiTheme="majorBidi" w:hAnsiTheme="majorBidi" w:cstheme="majorBidi"/>
          <w:color w:val="222222"/>
          <w:sz w:val="24"/>
          <w:szCs w:val="24"/>
          <w:shd w:val="clear" w:color="auto" w:fill="FFFFFF"/>
        </w:rPr>
        <w:t>Kersh</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Abdou</w:t>
      </w:r>
      <w:proofErr w:type="spellEnd"/>
      <w:r w:rsidRPr="00365541">
        <w:rPr>
          <w:rFonts w:asciiTheme="majorBidi" w:hAnsiTheme="majorBidi" w:cstheme="majorBidi"/>
          <w:color w:val="222222"/>
          <w:sz w:val="24"/>
          <w:szCs w:val="24"/>
          <w:shd w:val="clear" w:color="auto" w:fill="FFFFFF"/>
        </w:rPr>
        <w:t xml:space="preserve">, W., ... &amp; El </w:t>
      </w:r>
      <w:proofErr w:type="spellStart"/>
      <w:r w:rsidRPr="00365541">
        <w:rPr>
          <w:rFonts w:asciiTheme="majorBidi" w:hAnsiTheme="majorBidi" w:cstheme="majorBidi"/>
          <w:color w:val="222222"/>
          <w:sz w:val="24"/>
          <w:szCs w:val="24"/>
          <w:shd w:val="clear" w:color="auto" w:fill="FFFFFF"/>
        </w:rPr>
        <w:t>Shorbagy</w:t>
      </w:r>
      <w:proofErr w:type="spellEnd"/>
      <w:r w:rsidRPr="00365541">
        <w:rPr>
          <w:rFonts w:asciiTheme="majorBidi" w:hAnsiTheme="majorBidi" w:cstheme="majorBidi"/>
          <w:color w:val="222222"/>
          <w:sz w:val="24"/>
          <w:szCs w:val="24"/>
          <w:shd w:val="clear" w:color="auto" w:fill="FFFFFF"/>
        </w:rPr>
        <w:t xml:space="preserve">, A. (2019). The pattern of risk-factor profile in Egyptian patients with acute coronary syndrome: phase II of the Egyptian cross-sectional </w:t>
      </w:r>
      <w:proofErr w:type="spellStart"/>
      <w:r w:rsidRPr="00365541">
        <w:rPr>
          <w:rFonts w:asciiTheme="majorBidi" w:hAnsiTheme="majorBidi" w:cstheme="majorBidi"/>
          <w:color w:val="222222"/>
          <w:sz w:val="24"/>
          <w:szCs w:val="24"/>
          <w:shd w:val="clear" w:color="auto" w:fill="FFFFFF"/>
        </w:rPr>
        <w:t>CardioRisk</w:t>
      </w:r>
      <w:proofErr w:type="spellEnd"/>
      <w:r w:rsidRPr="00365541">
        <w:rPr>
          <w:rFonts w:asciiTheme="majorBidi" w:hAnsiTheme="majorBidi" w:cstheme="majorBidi"/>
          <w:color w:val="222222"/>
          <w:sz w:val="24"/>
          <w:szCs w:val="24"/>
          <w:shd w:val="clear" w:color="auto" w:fill="FFFFFF"/>
        </w:rPr>
        <w:t xml:space="preserve"> project. </w:t>
      </w:r>
      <w:r w:rsidRPr="00365541">
        <w:rPr>
          <w:rFonts w:asciiTheme="majorBidi" w:hAnsiTheme="majorBidi" w:cstheme="majorBidi"/>
          <w:i/>
          <w:iCs/>
          <w:color w:val="222222"/>
          <w:sz w:val="24"/>
          <w:szCs w:val="24"/>
          <w:shd w:val="clear" w:color="auto" w:fill="FFFFFF"/>
        </w:rPr>
        <w:t>Cardiovascular journal of Africa</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30</w:t>
      </w:r>
      <w:r w:rsidRPr="00365541">
        <w:rPr>
          <w:rFonts w:asciiTheme="majorBidi" w:hAnsiTheme="majorBidi" w:cstheme="majorBidi"/>
          <w:color w:val="222222"/>
          <w:sz w:val="24"/>
          <w:szCs w:val="24"/>
          <w:shd w:val="clear" w:color="auto" w:fill="FFFFFF"/>
        </w:rPr>
        <w:t>(2), 87-</w:t>
      </w:r>
      <w:proofErr w:type="gramStart"/>
      <w:r w:rsidRPr="00365541">
        <w:rPr>
          <w:rFonts w:asciiTheme="majorBidi" w:hAnsiTheme="majorBidi" w:cstheme="majorBidi"/>
          <w:color w:val="222222"/>
          <w:sz w:val="24"/>
          <w:szCs w:val="24"/>
          <w:shd w:val="clear" w:color="auto" w:fill="FFFFFF"/>
        </w:rPr>
        <w:t>94.</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Reda</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Bendary</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Elbahry</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Farag</w:t>
      </w:r>
      <w:proofErr w:type="spellEnd"/>
      <w:r w:rsidRPr="00365541">
        <w:rPr>
          <w:rFonts w:asciiTheme="majorBidi" w:hAnsiTheme="majorBidi" w:cstheme="majorBidi"/>
          <w:color w:val="222222"/>
          <w:sz w:val="24"/>
          <w:szCs w:val="24"/>
          <w:shd w:val="clear" w:color="auto" w:fill="FFFFFF"/>
        </w:rPr>
        <w:t xml:space="preserve">, E., Mostafa, T., </w:t>
      </w:r>
      <w:proofErr w:type="spellStart"/>
      <w:r w:rsidRPr="00365541">
        <w:rPr>
          <w:rFonts w:asciiTheme="majorBidi" w:hAnsiTheme="majorBidi" w:cstheme="majorBidi"/>
          <w:color w:val="222222"/>
          <w:sz w:val="24"/>
          <w:szCs w:val="24"/>
          <w:shd w:val="clear" w:color="auto" w:fill="FFFFFF"/>
        </w:rPr>
        <w:t>Khamis</w:t>
      </w:r>
      <w:proofErr w:type="spellEnd"/>
      <w:r w:rsidRPr="00365541">
        <w:rPr>
          <w:rFonts w:asciiTheme="majorBidi" w:hAnsiTheme="majorBidi" w:cstheme="majorBidi"/>
          <w:color w:val="222222"/>
          <w:sz w:val="24"/>
          <w:szCs w:val="24"/>
          <w:shd w:val="clear" w:color="auto" w:fill="FFFFFF"/>
        </w:rPr>
        <w:t>, H., ... &amp; Salah, R. (2021). Prevalence of atherosclerosis risk factors in Egyptian patients with acute coronary syndrome: final data of the nationwide cross-sectional ‘</w:t>
      </w:r>
      <w:proofErr w:type="spellStart"/>
      <w:r w:rsidRPr="00365541">
        <w:rPr>
          <w:rFonts w:asciiTheme="majorBidi" w:hAnsiTheme="majorBidi" w:cstheme="majorBidi"/>
          <w:color w:val="222222"/>
          <w:sz w:val="24"/>
          <w:szCs w:val="24"/>
          <w:shd w:val="clear" w:color="auto" w:fill="FFFFFF"/>
        </w:rPr>
        <w:t>CardioRisk’project</w:t>
      </w:r>
      <w:proofErr w:type="spellEnd"/>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Journal of public health in Africa</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11</w:t>
      </w:r>
      <w:r w:rsidRPr="00365541">
        <w:rPr>
          <w:rFonts w:asciiTheme="majorBidi" w:hAnsiTheme="majorBidi" w:cstheme="majorBidi"/>
          <w:color w:val="222222"/>
          <w:sz w:val="24"/>
          <w:szCs w:val="24"/>
          <w:shd w:val="clear" w:color="auto" w:fill="FFFFFF"/>
        </w:rPr>
        <w:t xml:space="preserve">(2), </w:t>
      </w:r>
      <w:proofErr w:type="gramStart"/>
      <w:r w:rsidRPr="00365541">
        <w:rPr>
          <w:rFonts w:asciiTheme="majorBidi" w:hAnsiTheme="majorBidi" w:cstheme="majorBidi"/>
          <w:color w:val="222222"/>
          <w:sz w:val="24"/>
          <w:szCs w:val="24"/>
          <w:shd w:val="clear" w:color="auto" w:fill="FFFFFF"/>
        </w:rPr>
        <w:t>1368.</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Shehab</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Bakir</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Sabbour</w:t>
      </w:r>
      <w:proofErr w:type="spellEnd"/>
      <w:r w:rsidRPr="00365541">
        <w:rPr>
          <w:rFonts w:asciiTheme="majorBidi" w:hAnsiTheme="majorBidi" w:cstheme="majorBidi"/>
          <w:color w:val="222222"/>
          <w:sz w:val="24"/>
          <w:szCs w:val="24"/>
          <w:shd w:val="clear" w:color="auto" w:fill="FFFFFF"/>
        </w:rPr>
        <w:t xml:space="preserve">, H., </w:t>
      </w:r>
      <w:proofErr w:type="spellStart"/>
      <w:r w:rsidRPr="00365541">
        <w:rPr>
          <w:rFonts w:asciiTheme="majorBidi" w:hAnsiTheme="majorBidi" w:cstheme="majorBidi"/>
          <w:color w:val="222222"/>
          <w:sz w:val="24"/>
          <w:szCs w:val="24"/>
          <w:shd w:val="clear" w:color="auto" w:fill="FFFFFF"/>
        </w:rPr>
        <w:t>Elnour</w:t>
      </w:r>
      <w:proofErr w:type="spellEnd"/>
      <w:r w:rsidRPr="00365541">
        <w:rPr>
          <w:rFonts w:asciiTheme="majorBidi" w:hAnsiTheme="majorBidi" w:cstheme="majorBidi"/>
          <w:color w:val="222222"/>
          <w:sz w:val="24"/>
          <w:szCs w:val="24"/>
          <w:shd w:val="clear" w:color="auto" w:fill="FFFFFF"/>
        </w:rPr>
        <w:t xml:space="preserve">, A. A., </w:t>
      </w:r>
      <w:proofErr w:type="spellStart"/>
      <w:r w:rsidRPr="00365541">
        <w:rPr>
          <w:rFonts w:asciiTheme="majorBidi" w:hAnsiTheme="majorBidi" w:cstheme="majorBidi"/>
          <w:color w:val="222222"/>
          <w:sz w:val="24"/>
          <w:szCs w:val="24"/>
          <w:shd w:val="clear" w:color="auto" w:fill="FFFFFF"/>
        </w:rPr>
        <w:t>Mahmeed</w:t>
      </w:r>
      <w:proofErr w:type="spellEnd"/>
      <w:r w:rsidRPr="00365541">
        <w:rPr>
          <w:rFonts w:asciiTheme="majorBidi" w:hAnsiTheme="majorBidi" w:cstheme="majorBidi"/>
          <w:color w:val="222222"/>
          <w:sz w:val="24"/>
          <w:szCs w:val="24"/>
          <w:shd w:val="clear" w:color="auto" w:fill="FFFFFF"/>
        </w:rPr>
        <w:t xml:space="preserve">, W. A., Salam, A. M., &amp; </w:t>
      </w:r>
      <w:proofErr w:type="spellStart"/>
      <w:r w:rsidRPr="00365541">
        <w:rPr>
          <w:rFonts w:asciiTheme="majorBidi" w:hAnsiTheme="majorBidi" w:cstheme="majorBidi"/>
          <w:color w:val="222222"/>
          <w:sz w:val="24"/>
          <w:szCs w:val="24"/>
          <w:shd w:val="clear" w:color="auto" w:fill="FFFFFF"/>
        </w:rPr>
        <w:t>Kholy</w:t>
      </w:r>
      <w:proofErr w:type="spellEnd"/>
      <w:r w:rsidRPr="00365541">
        <w:rPr>
          <w:rFonts w:asciiTheme="majorBidi" w:hAnsiTheme="majorBidi" w:cstheme="majorBidi"/>
          <w:color w:val="222222"/>
          <w:sz w:val="24"/>
          <w:szCs w:val="24"/>
          <w:shd w:val="clear" w:color="auto" w:fill="FFFFFF"/>
        </w:rPr>
        <w:t>, D. E. (2023). Prevalence of cardiovascular risk factors and 10-years risk for coronary heart disease in the United Arab Emirates. </w:t>
      </w:r>
      <w:r w:rsidRPr="00365541">
        <w:rPr>
          <w:rFonts w:asciiTheme="majorBidi" w:hAnsiTheme="majorBidi" w:cstheme="majorBidi"/>
          <w:i/>
          <w:iCs/>
          <w:color w:val="222222"/>
          <w:sz w:val="24"/>
          <w:szCs w:val="24"/>
          <w:shd w:val="clear" w:color="auto" w:fill="FFFFFF"/>
        </w:rPr>
        <w:t>Current Diabetes Reviews</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19</w:t>
      </w:r>
      <w:r w:rsidRPr="00365541">
        <w:rPr>
          <w:rFonts w:asciiTheme="majorBidi" w:hAnsiTheme="majorBidi" w:cstheme="majorBidi"/>
          <w:color w:val="222222"/>
          <w:sz w:val="24"/>
          <w:szCs w:val="24"/>
          <w:shd w:val="clear" w:color="auto" w:fill="FFFFFF"/>
        </w:rPr>
        <w:t>(3), 38-</w:t>
      </w:r>
      <w:proofErr w:type="gramStart"/>
      <w:r w:rsidRPr="00365541">
        <w:rPr>
          <w:rFonts w:asciiTheme="majorBidi" w:hAnsiTheme="majorBidi" w:cstheme="majorBidi"/>
          <w:color w:val="222222"/>
          <w:sz w:val="24"/>
          <w:szCs w:val="24"/>
          <w:shd w:val="clear" w:color="auto" w:fill="FFFFFF"/>
        </w:rPr>
        <w:t>48.</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proofErr w:type="spellStart"/>
      <w:r w:rsidRPr="00365541">
        <w:rPr>
          <w:rFonts w:asciiTheme="majorBidi" w:hAnsiTheme="majorBidi" w:cstheme="majorBidi"/>
          <w:color w:val="222222"/>
          <w:sz w:val="24"/>
          <w:szCs w:val="24"/>
          <w:shd w:val="clear" w:color="auto" w:fill="FFFFFF"/>
        </w:rPr>
        <w:t>Sobhy</w:t>
      </w:r>
      <w:proofErr w:type="spellEnd"/>
      <w:r w:rsidRPr="00365541">
        <w:rPr>
          <w:rFonts w:asciiTheme="majorBidi" w:hAnsiTheme="majorBidi" w:cstheme="majorBidi"/>
          <w:color w:val="222222"/>
          <w:sz w:val="24"/>
          <w:szCs w:val="24"/>
          <w:shd w:val="clear" w:color="auto" w:fill="FFFFFF"/>
        </w:rPr>
        <w:t xml:space="preserve">, M., El </w:t>
      </w:r>
      <w:proofErr w:type="spellStart"/>
      <w:r w:rsidRPr="00365541">
        <w:rPr>
          <w:rFonts w:asciiTheme="majorBidi" w:hAnsiTheme="majorBidi" w:cstheme="majorBidi"/>
          <w:color w:val="222222"/>
          <w:sz w:val="24"/>
          <w:szCs w:val="24"/>
          <w:shd w:val="clear" w:color="auto" w:fill="FFFFFF"/>
        </w:rPr>
        <w:t>Etriby</w:t>
      </w:r>
      <w:proofErr w:type="spellEnd"/>
      <w:r w:rsidRPr="00365541">
        <w:rPr>
          <w:rFonts w:asciiTheme="majorBidi" w:hAnsiTheme="majorBidi" w:cstheme="majorBidi"/>
          <w:color w:val="222222"/>
          <w:sz w:val="24"/>
          <w:szCs w:val="24"/>
          <w:shd w:val="clear" w:color="auto" w:fill="FFFFFF"/>
        </w:rPr>
        <w:t xml:space="preserve">, A., El </w:t>
      </w:r>
      <w:proofErr w:type="spellStart"/>
      <w:r w:rsidRPr="00365541">
        <w:rPr>
          <w:rFonts w:asciiTheme="majorBidi" w:hAnsiTheme="majorBidi" w:cstheme="majorBidi"/>
          <w:color w:val="222222"/>
          <w:sz w:val="24"/>
          <w:szCs w:val="24"/>
          <w:shd w:val="clear" w:color="auto" w:fill="FFFFFF"/>
        </w:rPr>
        <w:t>Nashar</w:t>
      </w:r>
      <w:proofErr w:type="spellEnd"/>
      <w:r w:rsidRPr="00365541">
        <w:rPr>
          <w:rFonts w:asciiTheme="majorBidi" w:hAnsiTheme="majorBidi" w:cstheme="majorBidi"/>
          <w:color w:val="222222"/>
          <w:sz w:val="24"/>
          <w:szCs w:val="24"/>
          <w:shd w:val="clear" w:color="auto" w:fill="FFFFFF"/>
        </w:rPr>
        <w:t xml:space="preserve">, A., </w:t>
      </w:r>
      <w:proofErr w:type="spellStart"/>
      <w:r w:rsidRPr="00365541">
        <w:rPr>
          <w:rFonts w:asciiTheme="majorBidi" w:hAnsiTheme="majorBidi" w:cstheme="majorBidi"/>
          <w:color w:val="222222"/>
          <w:sz w:val="24"/>
          <w:szCs w:val="24"/>
          <w:shd w:val="clear" w:color="auto" w:fill="FFFFFF"/>
        </w:rPr>
        <w:t>Wajih</w:t>
      </w:r>
      <w:proofErr w:type="spellEnd"/>
      <w:r w:rsidRPr="00365541">
        <w:rPr>
          <w:rFonts w:asciiTheme="majorBidi" w:hAnsiTheme="majorBidi" w:cstheme="majorBidi"/>
          <w:color w:val="222222"/>
          <w:sz w:val="24"/>
          <w:szCs w:val="24"/>
          <w:shd w:val="clear" w:color="auto" w:fill="FFFFFF"/>
        </w:rPr>
        <w:t xml:space="preserve">, S., </w:t>
      </w:r>
      <w:proofErr w:type="spellStart"/>
      <w:r w:rsidRPr="00365541">
        <w:rPr>
          <w:rFonts w:asciiTheme="majorBidi" w:hAnsiTheme="majorBidi" w:cstheme="majorBidi"/>
          <w:color w:val="222222"/>
          <w:sz w:val="24"/>
          <w:szCs w:val="24"/>
          <w:shd w:val="clear" w:color="auto" w:fill="FFFFFF"/>
        </w:rPr>
        <w:t>Horack</w:t>
      </w:r>
      <w:proofErr w:type="spellEnd"/>
      <w:r w:rsidRPr="00365541">
        <w:rPr>
          <w:rFonts w:asciiTheme="majorBidi" w:hAnsiTheme="majorBidi" w:cstheme="majorBidi"/>
          <w:color w:val="222222"/>
          <w:sz w:val="24"/>
          <w:szCs w:val="24"/>
          <w:shd w:val="clear" w:color="auto" w:fill="FFFFFF"/>
        </w:rPr>
        <w:t xml:space="preserve">, M., </w:t>
      </w:r>
      <w:proofErr w:type="spellStart"/>
      <w:r w:rsidRPr="00365541">
        <w:rPr>
          <w:rFonts w:asciiTheme="majorBidi" w:hAnsiTheme="majorBidi" w:cstheme="majorBidi"/>
          <w:color w:val="222222"/>
          <w:sz w:val="24"/>
          <w:szCs w:val="24"/>
          <w:shd w:val="clear" w:color="auto" w:fill="FFFFFF"/>
        </w:rPr>
        <w:t>Brudi</w:t>
      </w:r>
      <w:proofErr w:type="spellEnd"/>
      <w:r w:rsidRPr="00365541">
        <w:rPr>
          <w:rFonts w:asciiTheme="majorBidi" w:hAnsiTheme="majorBidi" w:cstheme="majorBidi"/>
          <w:color w:val="222222"/>
          <w:sz w:val="24"/>
          <w:szCs w:val="24"/>
          <w:shd w:val="clear" w:color="auto" w:fill="FFFFFF"/>
        </w:rPr>
        <w:t xml:space="preserve">, P., ... &amp; </w:t>
      </w:r>
      <w:proofErr w:type="spellStart"/>
      <w:r w:rsidRPr="00365541">
        <w:rPr>
          <w:rFonts w:asciiTheme="majorBidi" w:hAnsiTheme="majorBidi" w:cstheme="majorBidi"/>
          <w:color w:val="222222"/>
          <w:sz w:val="24"/>
          <w:szCs w:val="24"/>
          <w:shd w:val="clear" w:color="auto" w:fill="FFFFFF"/>
        </w:rPr>
        <w:t>Gitt</w:t>
      </w:r>
      <w:proofErr w:type="spellEnd"/>
      <w:r w:rsidRPr="00365541">
        <w:rPr>
          <w:rFonts w:asciiTheme="majorBidi" w:hAnsiTheme="majorBidi" w:cstheme="majorBidi"/>
          <w:color w:val="222222"/>
          <w:sz w:val="24"/>
          <w:szCs w:val="24"/>
          <w:shd w:val="clear" w:color="auto" w:fill="FFFFFF"/>
        </w:rPr>
        <w:t>, A. K. (2018). Prevalence of lipid abnormalities and cholesterol target value attainment in Egyptian patients presenting with an acute coronary syndrome. </w:t>
      </w:r>
      <w:r w:rsidRPr="00365541">
        <w:rPr>
          <w:rFonts w:asciiTheme="majorBidi" w:hAnsiTheme="majorBidi" w:cstheme="majorBidi"/>
          <w:i/>
          <w:iCs/>
          <w:color w:val="222222"/>
          <w:sz w:val="24"/>
          <w:szCs w:val="24"/>
          <w:shd w:val="clear" w:color="auto" w:fill="FFFFFF"/>
        </w:rPr>
        <w:t>The Egyptian Heart Journal</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70</w:t>
      </w:r>
      <w:r w:rsidRPr="00365541">
        <w:rPr>
          <w:rFonts w:asciiTheme="majorBidi" w:hAnsiTheme="majorBidi" w:cstheme="majorBidi"/>
          <w:color w:val="222222"/>
          <w:sz w:val="24"/>
          <w:szCs w:val="24"/>
          <w:shd w:val="clear" w:color="auto" w:fill="FFFFFF"/>
        </w:rPr>
        <w:t>(3), 129-</w:t>
      </w:r>
      <w:proofErr w:type="gramStart"/>
      <w:r w:rsidRPr="00365541">
        <w:rPr>
          <w:rFonts w:asciiTheme="majorBidi" w:hAnsiTheme="majorBidi" w:cstheme="majorBidi"/>
          <w:color w:val="222222"/>
          <w:sz w:val="24"/>
          <w:szCs w:val="24"/>
          <w:shd w:val="clear" w:color="auto" w:fill="FFFFFF"/>
        </w:rPr>
        <w:t>134.</w:t>
      </w:r>
      <w:r w:rsidRPr="00365541">
        <w:rPr>
          <w:rFonts w:asciiTheme="majorBidi" w:hAnsiTheme="majorBidi" w:cstheme="majorBidi"/>
          <w:color w:val="222222"/>
          <w:sz w:val="24"/>
          <w:szCs w:val="24"/>
          <w:shd w:val="clear" w:color="auto" w:fill="FFFFFF"/>
          <w:rtl/>
        </w:rPr>
        <w:t>‏</w:t>
      </w:r>
      <w:proofErr w:type="gramEnd"/>
    </w:p>
    <w:p w:rsidR="00365541" w:rsidRPr="00365541" w:rsidRDefault="00365541" w:rsidP="00365541">
      <w:pPr>
        <w:spacing w:line="360" w:lineRule="auto"/>
        <w:jc w:val="lowKashida"/>
        <w:rPr>
          <w:rFonts w:asciiTheme="majorBidi" w:hAnsiTheme="majorBidi" w:cstheme="majorBidi"/>
          <w:color w:val="222222"/>
          <w:sz w:val="24"/>
          <w:szCs w:val="24"/>
          <w:shd w:val="clear" w:color="auto" w:fill="FFFFFF"/>
        </w:rPr>
      </w:pPr>
      <w:r w:rsidRPr="00365541">
        <w:rPr>
          <w:rFonts w:asciiTheme="majorBidi" w:hAnsiTheme="majorBidi" w:cstheme="majorBidi"/>
          <w:color w:val="222222"/>
          <w:sz w:val="24"/>
          <w:szCs w:val="24"/>
          <w:shd w:val="clear" w:color="auto" w:fill="FFFFFF"/>
        </w:rPr>
        <w:t>Turk-</w:t>
      </w:r>
      <w:bookmarkStart w:id="6" w:name="_GoBack"/>
      <w:proofErr w:type="spellStart"/>
      <w:r w:rsidRPr="00365541">
        <w:rPr>
          <w:rFonts w:asciiTheme="majorBidi" w:hAnsiTheme="majorBidi" w:cstheme="majorBidi"/>
          <w:color w:val="222222"/>
          <w:sz w:val="24"/>
          <w:szCs w:val="24"/>
          <w:shd w:val="clear" w:color="auto" w:fill="FFFFFF"/>
        </w:rPr>
        <w:t>Adawi</w:t>
      </w:r>
      <w:bookmarkEnd w:id="6"/>
      <w:proofErr w:type="spellEnd"/>
      <w:r w:rsidRPr="00365541">
        <w:rPr>
          <w:rFonts w:asciiTheme="majorBidi" w:hAnsiTheme="majorBidi" w:cstheme="majorBidi"/>
          <w:color w:val="222222"/>
          <w:sz w:val="24"/>
          <w:szCs w:val="24"/>
          <w:shd w:val="clear" w:color="auto" w:fill="FFFFFF"/>
        </w:rPr>
        <w:t xml:space="preserve">, K., </w:t>
      </w:r>
      <w:proofErr w:type="spellStart"/>
      <w:r w:rsidRPr="00365541">
        <w:rPr>
          <w:rFonts w:asciiTheme="majorBidi" w:hAnsiTheme="majorBidi" w:cstheme="majorBidi"/>
          <w:color w:val="222222"/>
          <w:sz w:val="24"/>
          <w:szCs w:val="24"/>
          <w:shd w:val="clear" w:color="auto" w:fill="FFFFFF"/>
        </w:rPr>
        <w:t>Sarrafzadegan</w:t>
      </w:r>
      <w:proofErr w:type="spellEnd"/>
      <w:r w:rsidRPr="00365541">
        <w:rPr>
          <w:rFonts w:asciiTheme="majorBidi" w:hAnsiTheme="majorBidi" w:cstheme="majorBidi"/>
          <w:color w:val="222222"/>
          <w:sz w:val="24"/>
          <w:szCs w:val="24"/>
          <w:shd w:val="clear" w:color="auto" w:fill="FFFFFF"/>
        </w:rPr>
        <w:t xml:space="preserve">, N., </w:t>
      </w:r>
      <w:proofErr w:type="spellStart"/>
      <w:r w:rsidRPr="00365541">
        <w:rPr>
          <w:rFonts w:asciiTheme="majorBidi" w:hAnsiTheme="majorBidi" w:cstheme="majorBidi"/>
          <w:color w:val="222222"/>
          <w:sz w:val="24"/>
          <w:szCs w:val="24"/>
          <w:shd w:val="clear" w:color="auto" w:fill="FFFFFF"/>
        </w:rPr>
        <w:t>Fadhil</w:t>
      </w:r>
      <w:proofErr w:type="spellEnd"/>
      <w:r w:rsidRPr="00365541">
        <w:rPr>
          <w:rFonts w:asciiTheme="majorBidi" w:hAnsiTheme="majorBidi" w:cstheme="majorBidi"/>
          <w:color w:val="222222"/>
          <w:sz w:val="24"/>
          <w:szCs w:val="24"/>
          <w:shd w:val="clear" w:color="auto" w:fill="FFFFFF"/>
        </w:rPr>
        <w:t xml:space="preserve">, I., </w:t>
      </w:r>
      <w:proofErr w:type="spellStart"/>
      <w:r w:rsidRPr="00365541">
        <w:rPr>
          <w:rFonts w:asciiTheme="majorBidi" w:hAnsiTheme="majorBidi" w:cstheme="majorBidi"/>
          <w:color w:val="222222"/>
          <w:sz w:val="24"/>
          <w:szCs w:val="24"/>
          <w:shd w:val="clear" w:color="auto" w:fill="FFFFFF"/>
        </w:rPr>
        <w:t>Taubert</w:t>
      </w:r>
      <w:proofErr w:type="spellEnd"/>
      <w:r w:rsidRPr="00365541">
        <w:rPr>
          <w:rFonts w:asciiTheme="majorBidi" w:hAnsiTheme="majorBidi" w:cstheme="majorBidi"/>
          <w:color w:val="222222"/>
          <w:sz w:val="24"/>
          <w:szCs w:val="24"/>
          <w:shd w:val="clear" w:color="auto" w:fill="FFFFFF"/>
        </w:rPr>
        <w:t xml:space="preserve">, K., </w:t>
      </w:r>
      <w:proofErr w:type="spellStart"/>
      <w:r w:rsidRPr="00365541">
        <w:rPr>
          <w:rFonts w:asciiTheme="majorBidi" w:hAnsiTheme="majorBidi" w:cstheme="majorBidi"/>
          <w:color w:val="222222"/>
          <w:sz w:val="24"/>
          <w:szCs w:val="24"/>
          <w:shd w:val="clear" w:color="auto" w:fill="FFFFFF"/>
        </w:rPr>
        <w:t>Sadeghi</w:t>
      </w:r>
      <w:proofErr w:type="spellEnd"/>
      <w:r w:rsidRPr="00365541">
        <w:rPr>
          <w:rFonts w:asciiTheme="majorBidi" w:hAnsiTheme="majorBidi" w:cstheme="majorBidi"/>
          <w:color w:val="222222"/>
          <w:sz w:val="24"/>
          <w:szCs w:val="24"/>
          <w:shd w:val="clear" w:color="auto" w:fill="FFFFFF"/>
        </w:rPr>
        <w:t>, M., Wenger, N. K., ... &amp; Grace, S. L. (2018). Cardiovascular disease in the Eastern Mediterranean region: epidemiology and risk factor burden. </w:t>
      </w:r>
      <w:r w:rsidRPr="00365541">
        <w:rPr>
          <w:rFonts w:asciiTheme="majorBidi" w:hAnsiTheme="majorBidi" w:cstheme="majorBidi"/>
          <w:i/>
          <w:iCs/>
          <w:color w:val="222222"/>
          <w:sz w:val="24"/>
          <w:szCs w:val="24"/>
          <w:shd w:val="clear" w:color="auto" w:fill="FFFFFF"/>
        </w:rPr>
        <w:t>Nature Reviews Cardiology</w:t>
      </w:r>
      <w:r w:rsidRPr="00365541">
        <w:rPr>
          <w:rFonts w:asciiTheme="majorBidi" w:hAnsiTheme="majorBidi" w:cstheme="majorBidi"/>
          <w:color w:val="222222"/>
          <w:sz w:val="24"/>
          <w:szCs w:val="24"/>
          <w:shd w:val="clear" w:color="auto" w:fill="FFFFFF"/>
        </w:rPr>
        <w:t>, </w:t>
      </w:r>
      <w:r w:rsidRPr="00365541">
        <w:rPr>
          <w:rFonts w:asciiTheme="majorBidi" w:hAnsiTheme="majorBidi" w:cstheme="majorBidi"/>
          <w:i/>
          <w:iCs/>
          <w:color w:val="222222"/>
          <w:sz w:val="24"/>
          <w:szCs w:val="24"/>
          <w:shd w:val="clear" w:color="auto" w:fill="FFFFFF"/>
        </w:rPr>
        <w:t>15</w:t>
      </w:r>
      <w:r w:rsidRPr="00365541">
        <w:rPr>
          <w:rFonts w:asciiTheme="majorBidi" w:hAnsiTheme="majorBidi" w:cstheme="majorBidi"/>
          <w:color w:val="222222"/>
          <w:sz w:val="24"/>
          <w:szCs w:val="24"/>
          <w:shd w:val="clear" w:color="auto" w:fill="FFFFFF"/>
        </w:rPr>
        <w:t>(2), 106-</w:t>
      </w:r>
      <w:proofErr w:type="gramStart"/>
      <w:r w:rsidRPr="00365541">
        <w:rPr>
          <w:rFonts w:asciiTheme="majorBidi" w:hAnsiTheme="majorBidi" w:cstheme="majorBidi"/>
          <w:color w:val="222222"/>
          <w:sz w:val="24"/>
          <w:szCs w:val="24"/>
          <w:shd w:val="clear" w:color="auto" w:fill="FFFFFF"/>
        </w:rPr>
        <w:t>119.</w:t>
      </w:r>
      <w:r w:rsidRPr="00365541">
        <w:rPr>
          <w:rFonts w:asciiTheme="majorBidi" w:hAnsiTheme="majorBidi" w:cstheme="majorBidi"/>
          <w:color w:val="222222"/>
          <w:sz w:val="24"/>
          <w:szCs w:val="24"/>
          <w:shd w:val="clear" w:color="auto" w:fill="FFFFFF"/>
          <w:rtl/>
        </w:rPr>
        <w:t>‏</w:t>
      </w:r>
      <w:proofErr w:type="gramEnd"/>
    </w:p>
    <w:p w:rsidR="00365541" w:rsidRPr="0019009A" w:rsidRDefault="00365541" w:rsidP="00365541">
      <w:pPr>
        <w:spacing w:before="100" w:beforeAutospacing="1" w:after="100" w:afterAutospacing="1" w:line="360" w:lineRule="auto"/>
        <w:ind w:firstLine="720"/>
        <w:jc w:val="lowKashida"/>
        <w:rPr>
          <w:rFonts w:asciiTheme="majorBidi" w:hAnsiTheme="majorBidi" w:cstheme="majorBidi"/>
          <w:sz w:val="28"/>
          <w:szCs w:val="28"/>
        </w:rPr>
      </w:pPr>
    </w:p>
    <w:p w:rsidR="00365541" w:rsidRPr="0005503A" w:rsidRDefault="00365541" w:rsidP="00365541">
      <w:pPr>
        <w:pStyle w:val="NormalWeb"/>
        <w:spacing w:line="360" w:lineRule="auto"/>
        <w:ind w:firstLine="720"/>
        <w:jc w:val="lowKashida"/>
        <w:rPr>
          <w:rFonts w:asciiTheme="majorBidi" w:hAnsiTheme="majorBidi" w:cstheme="majorBidi"/>
          <w:sz w:val="28"/>
          <w:szCs w:val="28"/>
        </w:rPr>
      </w:pPr>
    </w:p>
    <w:p w:rsidR="00365541" w:rsidRPr="0005503A" w:rsidRDefault="00365541" w:rsidP="00365541">
      <w:pPr>
        <w:pStyle w:val="NormalWeb"/>
        <w:spacing w:line="360" w:lineRule="auto"/>
        <w:ind w:firstLine="720"/>
        <w:jc w:val="lowKashida"/>
        <w:rPr>
          <w:rFonts w:asciiTheme="majorBidi" w:hAnsiTheme="majorBidi" w:cstheme="majorBidi"/>
          <w:sz w:val="28"/>
          <w:szCs w:val="28"/>
        </w:rPr>
      </w:pPr>
    </w:p>
    <w:p w:rsidR="00365541" w:rsidRPr="0005503A" w:rsidRDefault="00365541" w:rsidP="00365541">
      <w:pPr>
        <w:spacing w:line="360" w:lineRule="auto"/>
        <w:ind w:firstLine="720"/>
        <w:jc w:val="lowKashida"/>
        <w:rPr>
          <w:rFonts w:asciiTheme="majorBidi" w:hAnsiTheme="majorBidi" w:cstheme="majorBidi"/>
          <w:sz w:val="28"/>
          <w:szCs w:val="28"/>
        </w:rPr>
      </w:pPr>
    </w:p>
    <w:p w:rsidR="00365541" w:rsidRDefault="00365541" w:rsidP="00365541">
      <w:pPr>
        <w:spacing w:line="360" w:lineRule="auto"/>
        <w:ind w:left="-5" w:right="10" w:firstLine="720"/>
        <w:jc w:val="lowKashida"/>
      </w:pPr>
    </w:p>
    <w:p w:rsidR="00365541" w:rsidRPr="00E84CC0" w:rsidRDefault="00365541" w:rsidP="00A67477">
      <w:pPr>
        <w:spacing w:before="240" w:line="240" w:lineRule="auto"/>
        <w:jc w:val="lowKashida"/>
        <w:rPr>
          <w:rFonts w:asciiTheme="majorBidi" w:hAnsiTheme="majorBidi" w:cstheme="majorBidi"/>
          <w:b/>
          <w:bCs/>
          <w:sz w:val="24"/>
          <w:szCs w:val="24"/>
          <w:lang w:bidi="ar-EG"/>
        </w:rPr>
      </w:pPr>
    </w:p>
    <w:sectPr w:rsidR="00365541" w:rsidRPr="00E84CC0" w:rsidSect="005B3E7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Arial"/>
    <w:charset w:val="00"/>
    <w:family w:val="swiss"/>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dvOT678fd42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5276"/>
    <w:multiLevelType w:val="hybridMultilevel"/>
    <w:tmpl w:val="9530C5BC"/>
    <w:lvl w:ilvl="0" w:tplc="7818A2C4">
      <w:numFmt w:val="bullet"/>
      <w:lvlText w:val="o"/>
      <w:lvlJc w:val="left"/>
      <w:pPr>
        <w:ind w:left="686" w:hanging="361"/>
      </w:pPr>
      <w:rPr>
        <w:rFonts w:ascii="Courier New" w:eastAsia="Courier New" w:hAnsi="Courier New" w:cs="Courier New" w:hint="default"/>
        <w:b w:val="0"/>
        <w:bCs w:val="0"/>
        <w:i w:val="0"/>
        <w:iCs w:val="0"/>
        <w:spacing w:val="0"/>
        <w:w w:val="100"/>
        <w:sz w:val="20"/>
        <w:szCs w:val="20"/>
        <w:lang w:val="en-US" w:eastAsia="en-US" w:bidi="ar-SA"/>
      </w:rPr>
    </w:lvl>
    <w:lvl w:ilvl="1" w:tplc="CDF4B662">
      <w:numFmt w:val="bullet"/>
      <w:lvlText w:val=""/>
      <w:lvlJc w:val="left"/>
      <w:pPr>
        <w:ind w:left="981" w:hanging="360"/>
      </w:pPr>
      <w:rPr>
        <w:rFonts w:ascii="Symbol" w:eastAsia="Symbol" w:hAnsi="Symbol" w:cs="Symbol" w:hint="default"/>
        <w:b w:val="0"/>
        <w:bCs w:val="0"/>
        <w:i w:val="0"/>
        <w:iCs w:val="0"/>
        <w:spacing w:val="0"/>
        <w:w w:val="100"/>
        <w:sz w:val="20"/>
        <w:szCs w:val="20"/>
        <w:lang w:val="en-US" w:eastAsia="en-US" w:bidi="ar-SA"/>
      </w:rPr>
    </w:lvl>
    <w:lvl w:ilvl="2" w:tplc="646AAD9C">
      <w:numFmt w:val="bullet"/>
      <w:lvlText w:val="•"/>
      <w:lvlJc w:val="left"/>
      <w:pPr>
        <w:ind w:left="1911" w:hanging="360"/>
      </w:pPr>
      <w:rPr>
        <w:lang w:val="en-US" w:eastAsia="en-US" w:bidi="ar-SA"/>
      </w:rPr>
    </w:lvl>
    <w:lvl w:ilvl="3" w:tplc="E7068F62">
      <w:numFmt w:val="bullet"/>
      <w:lvlText w:val="•"/>
      <w:lvlJc w:val="left"/>
      <w:pPr>
        <w:ind w:left="2842" w:hanging="360"/>
      </w:pPr>
      <w:rPr>
        <w:lang w:val="en-US" w:eastAsia="en-US" w:bidi="ar-SA"/>
      </w:rPr>
    </w:lvl>
    <w:lvl w:ilvl="4" w:tplc="356CE698">
      <w:numFmt w:val="bullet"/>
      <w:lvlText w:val="•"/>
      <w:lvlJc w:val="left"/>
      <w:pPr>
        <w:ind w:left="3773" w:hanging="360"/>
      </w:pPr>
      <w:rPr>
        <w:lang w:val="en-US" w:eastAsia="en-US" w:bidi="ar-SA"/>
      </w:rPr>
    </w:lvl>
    <w:lvl w:ilvl="5" w:tplc="DC3EC176">
      <w:numFmt w:val="bullet"/>
      <w:lvlText w:val="•"/>
      <w:lvlJc w:val="left"/>
      <w:pPr>
        <w:ind w:left="4704" w:hanging="360"/>
      </w:pPr>
      <w:rPr>
        <w:lang w:val="en-US" w:eastAsia="en-US" w:bidi="ar-SA"/>
      </w:rPr>
    </w:lvl>
    <w:lvl w:ilvl="6" w:tplc="7C589A80">
      <w:numFmt w:val="bullet"/>
      <w:lvlText w:val="•"/>
      <w:lvlJc w:val="left"/>
      <w:pPr>
        <w:ind w:left="5635" w:hanging="360"/>
      </w:pPr>
      <w:rPr>
        <w:lang w:val="en-US" w:eastAsia="en-US" w:bidi="ar-SA"/>
      </w:rPr>
    </w:lvl>
    <w:lvl w:ilvl="7" w:tplc="C6CE7140">
      <w:numFmt w:val="bullet"/>
      <w:lvlText w:val="•"/>
      <w:lvlJc w:val="left"/>
      <w:pPr>
        <w:ind w:left="6566" w:hanging="360"/>
      </w:pPr>
      <w:rPr>
        <w:lang w:val="en-US" w:eastAsia="en-US" w:bidi="ar-SA"/>
      </w:rPr>
    </w:lvl>
    <w:lvl w:ilvl="8" w:tplc="1E5E3E0E">
      <w:numFmt w:val="bullet"/>
      <w:lvlText w:val="•"/>
      <w:lvlJc w:val="left"/>
      <w:pPr>
        <w:ind w:left="7497" w:hanging="360"/>
      </w:pPr>
      <w:rPr>
        <w:lang w:val="en-US" w:eastAsia="en-US" w:bidi="ar-SA"/>
      </w:rPr>
    </w:lvl>
  </w:abstractNum>
  <w:abstractNum w:abstractNumId="1" w15:restartNumberingAfterBreak="0">
    <w:nsid w:val="141936BE"/>
    <w:multiLevelType w:val="hybridMultilevel"/>
    <w:tmpl w:val="4A089B1E"/>
    <w:lvl w:ilvl="0" w:tplc="67547250">
      <w:start w:val="1"/>
      <w:numFmt w:val="decimal"/>
      <w:lvlText w:val="%1."/>
      <w:lvlJc w:val="left"/>
      <w:pPr>
        <w:ind w:left="981" w:hanging="360"/>
      </w:pPr>
      <w:rPr>
        <w:rFonts w:ascii="Times New Roman" w:eastAsia="Times New Roman" w:hAnsi="Times New Roman" w:cs="Times New Roman" w:hint="default"/>
        <w:b/>
        <w:bCs/>
        <w:i w:val="0"/>
        <w:iCs w:val="0"/>
        <w:spacing w:val="0"/>
        <w:w w:val="100"/>
        <w:sz w:val="30"/>
        <w:szCs w:val="30"/>
        <w:lang w:val="en-US" w:eastAsia="en-US" w:bidi="ar-SA"/>
      </w:rPr>
    </w:lvl>
    <w:lvl w:ilvl="1" w:tplc="4072A062">
      <w:numFmt w:val="bullet"/>
      <w:lvlText w:val=""/>
      <w:lvlJc w:val="left"/>
      <w:pPr>
        <w:ind w:left="981" w:hanging="360"/>
      </w:pPr>
      <w:rPr>
        <w:rFonts w:ascii="Symbol" w:eastAsia="Symbol" w:hAnsi="Symbol" w:cs="Symbol" w:hint="default"/>
        <w:b w:val="0"/>
        <w:bCs w:val="0"/>
        <w:i w:val="0"/>
        <w:iCs w:val="0"/>
        <w:spacing w:val="0"/>
        <w:w w:val="100"/>
        <w:sz w:val="22"/>
        <w:szCs w:val="22"/>
        <w:lang w:val="en-US" w:eastAsia="en-US" w:bidi="ar-SA"/>
      </w:rPr>
    </w:lvl>
    <w:lvl w:ilvl="2" w:tplc="EAAEB622">
      <w:numFmt w:val="bullet"/>
      <w:lvlText w:val="•"/>
      <w:lvlJc w:val="left"/>
      <w:pPr>
        <w:ind w:left="2656" w:hanging="360"/>
      </w:pPr>
      <w:rPr>
        <w:lang w:val="en-US" w:eastAsia="en-US" w:bidi="ar-SA"/>
      </w:rPr>
    </w:lvl>
    <w:lvl w:ilvl="3" w:tplc="BB1CD87E">
      <w:numFmt w:val="bullet"/>
      <w:lvlText w:val="•"/>
      <w:lvlJc w:val="left"/>
      <w:pPr>
        <w:ind w:left="3494" w:hanging="360"/>
      </w:pPr>
      <w:rPr>
        <w:lang w:val="en-US" w:eastAsia="en-US" w:bidi="ar-SA"/>
      </w:rPr>
    </w:lvl>
    <w:lvl w:ilvl="4" w:tplc="D3C6E8C2">
      <w:numFmt w:val="bullet"/>
      <w:lvlText w:val="•"/>
      <w:lvlJc w:val="left"/>
      <w:pPr>
        <w:ind w:left="4332" w:hanging="360"/>
      </w:pPr>
      <w:rPr>
        <w:lang w:val="en-US" w:eastAsia="en-US" w:bidi="ar-SA"/>
      </w:rPr>
    </w:lvl>
    <w:lvl w:ilvl="5" w:tplc="E3C24F1C">
      <w:numFmt w:val="bullet"/>
      <w:lvlText w:val="•"/>
      <w:lvlJc w:val="left"/>
      <w:pPr>
        <w:ind w:left="5170" w:hanging="360"/>
      </w:pPr>
      <w:rPr>
        <w:lang w:val="en-US" w:eastAsia="en-US" w:bidi="ar-SA"/>
      </w:rPr>
    </w:lvl>
    <w:lvl w:ilvl="6" w:tplc="6EA66C6C">
      <w:numFmt w:val="bullet"/>
      <w:lvlText w:val="•"/>
      <w:lvlJc w:val="left"/>
      <w:pPr>
        <w:ind w:left="6008" w:hanging="360"/>
      </w:pPr>
      <w:rPr>
        <w:lang w:val="en-US" w:eastAsia="en-US" w:bidi="ar-SA"/>
      </w:rPr>
    </w:lvl>
    <w:lvl w:ilvl="7" w:tplc="D1BA828A">
      <w:numFmt w:val="bullet"/>
      <w:lvlText w:val="•"/>
      <w:lvlJc w:val="left"/>
      <w:pPr>
        <w:ind w:left="6846" w:hanging="360"/>
      </w:pPr>
      <w:rPr>
        <w:lang w:val="en-US" w:eastAsia="en-US" w:bidi="ar-SA"/>
      </w:rPr>
    </w:lvl>
    <w:lvl w:ilvl="8" w:tplc="51BE3FB4">
      <w:numFmt w:val="bullet"/>
      <w:lvlText w:val="•"/>
      <w:lvlJc w:val="left"/>
      <w:pPr>
        <w:ind w:left="7684" w:hanging="360"/>
      </w:pPr>
      <w:rPr>
        <w:lang w:val="en-US" w:eastAsia="en-US" w:bidi="ar-SA"/>
      </w:rPr>
    </w:lvl>
  </w:abstractNum>
  <w:abstractNum w:abstractNumId="2" w15:restartNumberingAfterBreak="0">
    <w:nsid w:val="240E6E4F"/>
    <w:multiLevelType w:val="hybridMultilevel"/>
    <w:tmpl w:val="53D69BB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28E76C58"/>
    <w:multiLevelType w:val="hybridMultilevel"/>
    <w:tmpl w:val="FC5ABCF6"/>
    <w:lvl w:ilvl="0" w:tplc="CB38DD18">
      <w:start w:val="1"/>
      <w:numFmt w:val="decimal"/>
      <w:lvlText w:val="%1."/>
      <w:lvlJc w:val="left"/>
      <w:pPr>
        <w:ind w:left="981" w:hanging="360"/>
      </w:pPr>
      <w:rPr>
        <w:rFonts w:ascii="Times New Roman" w:eastAsia="Times New Roman" w:hAnsi="Times New Roman" w:cs="Times New Roman" w:hint="default"/>
        <w:b/>
        <w:bCs/>
        <w:i w:val="0"/>
        <w:iCs w:val="0"/>
        <w:spacing w:val="0"/>
        <w:w w:val="100"/>
        <w:sz w:val="30"/>
        <w:szCs w:val="30"/>
        <w:lang w:val="en-US" w:eastAsia="en-US" w:bidi="ar-SA"/>
      </w:rPr>
    </w:lvl>
    <w:lvl w:ilvl="1" w:tplc="74A0A2B2">
      <w:numFmt w:val="bullet"/>
      <w:lvlText w:val="•"/>
      <w:lvlJc w:val="left"/>
      <w:pPr>
        <w:ind w:left="1818" w:hanging="360"/>
      </w:pPr>
      <w:rPr>
        <w:lang w:val="en-US" w:eastAsia="en-US" w:bidi="ar-SA"/>
      </w:rPr>
    </w:lvl>
    <w:lvl w:ilvl="2" w:tplc="31666FFE">
      <w:numFmt w:val="bullet"/>
      <w:lvlText w:val="•"/>
      <w:lvlJc w:val="left"/>
      <w:pPr>
        <w:ind w:left="2656" w:hanging="360"/>
      </w:pPr>
      <w:rPr>
        <w:lang w:val="en-US" w:eastAsia="en-US" w:bidi="ar-SA"/>
      </w:rPr>
    </w:lvl>
    <w:lvl w:ilvl="3" w:tplc="E0269504">
      <w:numFmt w:val="bullet"/>
      <w:lvlText w:val="•"/>
      <w:lvlJc w:val="left"/>
      <w:pPr>
        <w:ind w:left="3494" w:hanging="360"/>
      </w:pPr>
      <w:rPr>
        <w:lang w:val="en-US" w:eastAsia="en-US" w:bidi="ar-SA"/>
      </w:rPr>
    </w:lvl>
    <w:lvl w:ilvl="4" w:tplc="5718986A">
      <w:numFmt w:val="bullet"/>
      <w:lvlText w:val="•"/>
      <w:lvlJc w:val="left"/>
      <w:pPr>
        <w:ind w:left="4332" w:hanging="360"/>
      </w:pPr>
      <w:rPr>
        <w:lang w:val="en-US" w:eastAsia="en-US" w:bidi="ar-SA"/>
      </w:rPr>
    </w:lvl>
    <w:lvl w:ilvl="5" w:tplc="93D259A6">
      <w:numFmt w:val="bullet"/>
      <w:lvlText w:val="•"/>
      <w:lvlJc w:val="left"/>
      <w:pPr>
        <w:ind w:left="5170" w:hanging="360"/>
      </w:pPr>
      <w:rPr>
        <w:lang w:val="en-US" w:eastAsia="en-US" w:bidi="ar-SA"/>
      </w:rPr>
    </w:lvl>
    <w:lvl w:ilvl="6" w:tplc="BEFE9FB8">
      <w:numFmt w:val="bullet"/>
      <w:lvlText w:val="•"/>
      <w:lvlJc w:val="left"/>
      <w:pPr>
        <w:ind w:left="6008" w:hanging="360"/>
      </w:pPr>
      <w:rPr>
        <w:lang w:val="en-US" w:eastAsia="en-US" w:bidi="ar-SA"/>
      </w:rPr>
    </w:lvl>
    <w:lvl w:ilvl="7" w:tplc="CA6400FC">
      <w:numFmt w:val="bullet"/>
      <w:lvlText w:val="•"/>
      <w:lvlJc w:val="left"/>
      <w:pPr>
        <w:ind w:left="6846" w:hanging="360"/>
      </w:pPr>
      <w:rPr>
        <w:lang w:val="en-US" w:eastAsia="en-US" w:bidi="ar-SA"/>
      </w:rPr>
    </w:lvl>
    <w:lvl w:ilvl="8" w:tplc="2318C710">
      <w:numFmt w:val="bullet"/>
      <w:lvlText w:val="•"/>
      <w:lvlJc w:val="left"/>
      <w:pPr>
        <w:ind w:left="7684" w:hanging="360"/>
      </w:pPr>
      <w:rPr>
        <w:lang w:val="en-US" w:eastAsia="en-US" w:bidi="ar-SA"/>
      </w:rPr>
    </w:lvl>
  </w:abstractNum>
  <w:abstractNum w:abstractNumId="4" w15:restartNumberingAfterBreak="0">
    <w:nsid w:val="69FE72F9"/>
    <w:multiLevelType w:val="hybridMultilevel"/>
    <w:tmpl w:val="4A5ACA44"/>
    <w:lvl w:ilvl="0" w:tplc="6BF63F82">
      <w:start w:val="1"/>
      <w:numFmt w:val="bullet"/>
      <w:lvlText w:val=""/>
      <w:lvlJc w:val="left"/>
      <w:pPr>
        <w:ind w:left="361" w:hanging="220"/>
      </w:pPr>
      <w:rPr>
        <w:rFonts w:ascii="Wingdings" w:hAnsi="Wingdings" w:hint="default"/>
        <w:b/>
        <w:bCs/>
        <w:i w:val="0"/>
        <w:iCs w:val="0"/>
        <w:spacing w:val="2"/>
        <w:w w:val="96"/>
        <w:sz w:val="24"/>
        <w:szCs w:val="24"/>
        <w:lang w:val="en-US" w:eastAsia="en-US" w:bidi="ar-SA"/>
      </w:rPr>
    </w:lvl>
    <w:lvl w:ilvl="1" w:tplc="C6647962">
      <w:numFmt w:val="bullet"/>
      <w:lvlText w:val="•"/>
      <w:lvlJc w:val="left"/>
      <w:pPr>
        <w:ind w:left="1260" w:hanging="220"/>
      </w:pPr>
      <w:rPr>
        <w:lang w:val="en-US" w:eastAsia="en-US" w:bidi="ar-SA"/>
      </w:rPr>
    </w:lvl>
    <w:lvl w:ilvl="2" w:tplc="1E3A1312">
      <w:numFmt w:val="bullet"/>
      <w:lvlText w:val="•"/>
      <w:lvlJc w:val="left"/>
      <w:pPr>
        <w:ind w:left="2160" w:hanging="220"/>
      </w:pPr>
      <w:rPr>
        <w:lang w:val="en-US" w:eastAsia="en-US" w:bidi="ar-SA"/>
      </w:rPr>
    </w:lvl>
    <w:lvl w:ilvl="3" w:tplc="13C24A76">
      <w:numFmt w:val="bullet"/>
      <w:lvlText w:val="•"/>
      <w:lvlJc w:val="left"/>
      <w:pPr>
        <w:ind w:left="3060" w:hanging="220"/>
      </w:pPr>
      <w:rPr>
        <w:lang w:val="en-US" w:eastAsia="en-US" w:bidi="ar-SA"/>
      </w:rPr>
    </w:lvl>
    <w:lvl w:ilvl="4" w:tplc="E7F2C2B0">
      <w:numFmt w:val="bullet"/>
      <w:lvlText w:val="•"/>
      <w:lvlJc w:val="left"/>
      <w:pPr>
        <w:ind w:left="3960" w:hanging="220"/>
      </w:pPr>
      <w:rPr>
        <w:lang w:val="en-US" w:eastAsia="en-US" w:bidi="ar-SA"/>
      </w:rPr>
    </w:lvl>
    <w:lvl w:ilvl="5" w:tplc="6C6E4284">
      <w:numFmt w:val="bullet"/>
      <w:lvlText w:val="•"/>
      <w:lvlJc w:val="left"/>
      <w:pPr>
        <w:ind w:left="4860" w:hanging="220"/>
      </w:pPr>
      <w:rPr>
        <w:lang w:val="en-US" w:eastAsia="en-US" w:bidi="ar-SA"/>
      </w:rPr>
    </w:lvl>
    <w:lvl w:ilvl="6" w:tplc="38AEC98E">
      <w:numFmt w:val="bullet"/>
      <w:lvlText w:val="•"/>
      <w:lvlJc w:val="left"/>
      <w:pPr>
        <w:ind w:left="5760" w:hanging="220"/>
      </w:pPr>
      <w:rPr>
        <w:lang w:val="en-US" w:eastAsia="en-US" w:bidi="ar-SA"/>
      </w:rPr>
    </w:lvl>
    <w:lvl w:ilvl="7" w:tplc="0ACEBC9A">
      <w:numFmt w:val="bullet"/>
      <w:lvlText w:val="•"/>
      <w:lvlJc w:val="left"/>
      <w:pPr>
        <w:ind w:left="6660" w:hanging="220"/>
      </w:pPr>
      <w:rPr>
        <w:lang w:val="en-US" w:eastAsia="en-US" w:bidi="ar-SA"/>
      </w:rPr>
    </w:lvl>
    <w:lvl w:ilvl="8" w:tplc="19ECB63A">
      <w:numFmt w:val="bullet"/>
      <w:lvlText w:val="•"/>
      <w:lvlJc w:val="left"/>
      <w:pPr>
        <w:ind w:left="7560" w:hanging="220"/>
      </w:pPr>
      <w:rPr>
        <w:lang w:val="en-US" w:eastAsia="en-US" w:bidi="ar-SA"/>
      </w:rPr>
    </w:lvl>
  </w:abstractNum>
  <w:abstractNum w:abstractNumId="5" w15:restartNumberingAfterBreak="0">
    <w:nsid w:val="6C512DD3"/>
    <w:multiLevelType w:val="hybridMultilevel"/>
    <w:tmpl w:val="10084228"/>
    <w:lvl w:ilvl="0" w:tplc="D6E21A2C">
      <w:start w:val="1"/>
      <w:numFmt w:val="decimal"/>
      <w:lvlText w:val="%1."/>
      <w:lvlJc w:val="left"/>
      <w:pPr>
        <w:ind w:left="981" w:hanging="360"/>
      </w:pPr>
      <w:rPr>
        <w:rFonts w:ascii="Times New Roman" w:eastAsia="Times New Roman" w:hAnsi="Times New Roman" w:cs="Times New Roman" w:hint="default"/>
        <w:b/>
        <w:bCs/>
        <w:i w:val="0"/>
        <w:iCs w:val="0"/>
        <w:spacing w:val="0"/>
        <w:w w:val="100"/>
        <w:sz w:val="30"/>
        <w:szCs w:val="30"/>
        <w:lang w:val="en-US" w:eastAsia="en-US" w:bidi="ar-SA"/>
      </w:rPr>
    </w:lvl>
    <w:lvl w:ilvl="1" w:tplc="517ED66E">
      <w:numFmt w:val="bullet"/>
      <w:lvlText w:val=""/>
      <w:lvlJc w:val="left"/>
      <w:pPr>
        <w:ind w:left="981" w:hanging="360"/>
      </w:pPr>
      <w:rPr>
        <w:rFonts w:ascii="Symbol" w:eastAsia="Symbol" w:hAnsi="Symbol" w:cs="Symbol" w:hint="default"/>
        <w:b w:val="0"/>
        <w:bCs w:val="0"/>
        <w:i w:val="0"/>
        <w:iCs w:val="0"/>
        <w:spacing w:val="0"/>
        <w:w w:val="100"/>
        <w:sz w:val="22"/>
        <w:szCs w:val="22"/>
        <w:lang w:val="en-US" w:eastAsia="en-US" w:bidi="ar-SA"/>
      </w:rPr>
    </w:lvl>
    <w:lvl w:ilvl="2" w:tplc="5C5212FC">
      <w:numFmt w:val="bullet"/>
      <w:lvlText w:val="•"/>
      <w:lvlJc w:val="left"/>
      <w:pPr>
        <w:ind w:left="2656" w:hanging="360"/>
      </w:pPr>
      <w:rPr>
        <w:lang w:val="en-US" w:eastAsia="en-US" w:bidi="ar-SA"/>
      </w:rPr>
    </w:lvl>
    <w:lvl w:ilvl="3" w:tplc="A698A714">
      <w:numFmt w:val="bullet"/>
      <w:lvlText w:val="•"/>
      <w:lvlJc w:val="left"/>
      <w:pPr>
        <w:ind w:left="3494" w:hanging="360"/>
      </w:pPr>
      <w:rPr>
        <w:lang w:val="en-US" w:eastAsia="en-US" w:bidi="ar-SA"/>
      </w:rPr>
    </w:lvl>
    <w:lvl w:ilvl="4" w:tplc="30A81F36">
      <w:numFmt w:val="bullet"/>
      <w:lvlText w:val="•"/>
      <w:lvlJc w:val="left"/>
      <w:pPr>
        <w:ind w:left="4332" w:hanging="360"/>
      </w:pPr>
      <w:rPr>
        <w:lang w:val="en-US" w:eastAsia="en-US" w:bidi="ar-SA"/>
      </w:rPr>
    </w:lvl>
    <w:lvl w:ilvl="5" w:tplc="B4F801F2">
      <w:numFmt w:val="bullet"/>
      <w:lvlText w:val="•"/>
      <w:lvlJc w:val="left"/>
      <w:pPr>
        <w:ind w:left="5170" w:hanging="360"/>
      </w:pPr>
      <w:rPr>
        <w:lang w:val="en-US" w:eastAsia="en-US" w:bidi="ar-SA"/>
      </w:rPr>
    </w:lvl>
    <w:lvl w:ilvl="6" w:tplc="223C99B0">
      <w:numFmt w:val="bullet"/>
      <w:lvlText w:val="•"/>
      <w:lvlJc w:val="left"/>
      <w:pPr>
        <w:ind w:left="6008" w:hanging="360"/>
      </w:pPr>
      <w:rPr>
        <w:lang w:val="en-US" w:eastAsia="en-US" w:bidi="ar-SA"/>
      </w:rPr>
    </w:lvl>
    <w:lvl w:ilvl="7" w:tplc="A4FC0B46">
      <w:numFmt w:val="bullet"/>
      <w:lvlText w:val="•"/>
      <w:lvlJc w:val="left"/>
      <w:pPr>
        <w:ind w:left="6846" w:hanging="360"/>
      </w:pPr>
      <w:rPr>
        <w:lang w:val="en-US" w:eastAsia="en-US" w:bidi="ar-SA"/>
      </w:rPr>
    </w:lvl>
    <w:lvl w:ilvl="8" w:tplc="F89647BA">
      <w:numFmt w:val="bullet"/>
      <w:lvlText w:val="•"/>
      <w:lvlJc w:val="left"/>
      <w:pPr>
        <w:ind w:left="7684" w:hanging="360"/>
      </w:pPr>
      <w:rPr>
        <w:lang w:val="en-US" w:eastAsia="en-US" w:bidi="ar-SA"/>
      </w:rPr>
    </w:lvl>
  </w:abstractNum>
  <w:num w:numId="1">
    <w:abstractNumId w:val="3"/>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4"/>
    <w:lvlOverride w:ilvl="0"/>
    <w:lvlOverride w:ilvl="1"/>
    <w:lvlOverride w:ilvl="2"/>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41"/>
    <w:rsid w:val="00154FFD"/>
    <w:rsid w:val="00166541"/>
    <w:rsid w:val="001B04DA"/>
    <w:rsid w:val="001E4F86"/>
    <w:rsid w:val="0022548B"/>
    <w:rsid w:val="00260A5A"/>
    <w:rsid w:val="002767D8"/>
    <w:rsid w:val="003577DD"/>
    <w:rsid w:val="00365541"/>
    <w:rsid w:val="00365753"/>
    <w:rsid w:val="0036752F"/>
    <w:rsid w:val="003E2A30"/>
    <w:rsid w:val="003E5BAD"/>
    <w:rsid w:val="00407DE0"/>
    <w:rsid w:val="00413EFD"/>
    <w:rsid w:val="004A2FCC"/>
    <w:rsid w:val="005B3E7C"/>
    <w:rsid w:val="006F29C1"/>
    <w:rsid w:val="007139A5"/>
    <w:rsid w:val="007B51DE"/>
    <w:rsid w:val="00804574"/>
    <w:rsid w:val="00821C4E"/>
    <w:rsid w:val="00A343CA"/>
    <w:rsid w:val="00A61599"/>
    <w:rsid w:val="00A67477"/>
    <w:rsid w:val="00A96612"/>
    <w:rsid w:val="00B20664"/>
    <w:rsid w:val="00B82D86"/>
    <w:rsid w:val="00BC0FFE"/>
    <w:rsid w:val="00C769E1"/>
    <w:rsid w:val="00D17696"/>
    <w:rsid w:val="00DE5A3E"/>
    <w:rsid w:val="00E167A2"/>
    <w:rsid w:val="00E65E14"/>
    <w:rsid w:val="00E84CC0"/>
    <w:rsid w:val="00EF2AB6"/>
    <w:rsid w:val="00F95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0AC5"/>
  <w15:chartTrackingRefBased/>
  <w15:docId w15:val="{89002B09-2800-47F4-A61F-D13A9174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A67477"/>
    <w:pPr>
      <w:keepNext/>
      <w:keepLines/>
      <w:spacing w:before="240" w:after="0" w:line="256" w:lineRule="auto"/>
      <w:outlineLvl w:val="0"/>
    </w:pPr>
    <w:rPr>
      <w:rFonts w:ascii="Cambria" w:eastAsia="SimSun" w:hAnsi="Cambria" w:cs="Times New Roman"/>
      <w:color w:val="365F91"/>
      <w:sz w:val="32"/>
      <w:szCs w:val="32"/>
    </w:rPr>
  </w:style>
  <w:style w:type="paragraph" w:styleId="Heading2">
    <w:name w:val="heading 2"/>
    <w:basedOn w:val="Normal"/>
    <w:next w:val="Normal"/>
    <w:link w:val="Heading2Char"/>
    <w:uiPriority w:val="1"/>
    <w:semiHidden/>
    <w:unhideWhenUsed/>
    <w:qFormat/>
    <w:rsid w:val="00A67477"/>
    <w:pPr>
      <w:keepNext/>
      <w:keepLines/>
      <w:spacing w:before="200" w:after="0" w:line="256" w:lineRule="auto"/>
      <w:outlineLvl w:val="1"/>
    </w:pPr>
    <w:rPr>
      <w:rFonts w:ascii="Cambria" w:eastAsia="SimSun" w:hAnsi="Cambria" w:cs="Times New Roman"/>
      <w:b/>
      <w:bCs/>
      <w:color w:val="4F81BD"/>
      <w:sz w:val="26"/>
      <w:szCs w:val="26"/>
    </w:rPr>
  </w:style>
  <w:style w:type="paragraph" w:styleId="Heading3">
    <w:name w:val="heading 3"/>
    <w:basedOn w:val="Normal"/>
    <w:link w:val="Heading3Char"/>
    <w:uiPriority w:val="9"/>
    <w:semiHidden/>
    <w:unhideWhenUsed/>
    <w:qFormat/>
    <w:rsid w:val="00A674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67477"/>
    <w:pPr>
      <w:keepNext/>
      <w:keepLines/>
      <w:spacing w:before="200" w:after="0" w:line="256" w:lineRule="auto"/>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A67477"/>
    <w:pPr>
      <w:keepNext/>
      <w:keepLines/>
      <w:spacing w:before="200" w:after="0" w:line="256" w:lineRule="auto"/>
      <w:outlineLvl w:val="4"/>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477"/>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1"/>
    <w:semiHidden/>
    <w:rsid w:val="00A67477"/>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
    <w:semiHidden/>
    <w:rsid w:val="00A674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67477"/>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A67477"/>
    <w:rPr>
      <w:rFonts w:ascii="Calibri Light" w:eastAsia="Times New Roman" w:hAnsi="Calibri Light" w:cs="Times New Roman"/>
      <w:color w:val="1F3763"/>
    </w:rPr>
  </w:style>
  <w:style w:type="character" w:customStyle="1" w:styleId="HTMLPreformattedChar">
    <w:name w:val="HTML Preformatted Char"/>
    <w:basedOn w:val="DefaultParagraphFont"/>
    <w:link w:val="HTMLPreformatted"/>
    <w:uiPriority w:val="99"/>
    <w:semiHidden/>
    <w:rsid w:val="00A6747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6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msonormal0">
    <w:name w:val="msonormal"/>
    <w:basedOn w:val="Normal"/>
    <w:uiPriority w:val="99"/>
    <w:rsid w:val="00A674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A67477"/>
    <w:rPr>
      <w:rFonts w:ascii="Calibri" w:eastAsia="Calibri" w:hAnsi="Calibri" w:cs="Arial"/>
    </w:rPr>
  </w:style>
  <w:style w:type="paragraph" w:styleId="Header">
    <w:name w:val="header"/>
    <w:basedOn w:val="Normal"/>
    <w:link w:val="HeaderChar"/>
    <w:uiPriority w:val="99"/>
    <w:semiHidden/>
    <w:unhideWhenUsed/>
    <w:rsid w:val="00A67477"/>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semiHidden/>
    <w:rsid w:val="00A67477"/>
    <w:rPr>
      <w:rFonts w:ascii="Calibri" w:eastAsia="Calibri" w:hAnsi="Calibri" w:cs="Arial"/>
    </w:rPr>
  </w:style>
  <w:style w:type="paragraph" w:styleId="Footer">
    <w:name w:val="footer"/>
    <w:basedOn w:val="Normal"/>
    <w:link w:val="FooterChar"/>
    <w:uiPriority w:val="99"/>
    <w:semiHidden/>
    <w:unhideWhenUsed/>
    <w:rsid w:val="00A67477"/>
    <w:pPr>
      <w:tabs>
        <w:tab w:val="center" w:pos="4680"/>
        <w:tab w:val="right" w:pos="9360"/>
      </w:tabs>
      <w:spacing w:after="0" w:line="240" w:lineRule="auto"/>
    </w:pPr>
    <w:rPr>
      <w:rFonts w:ascii="Calibri" w:eastAsia="Calibri" w:hAnsi="Calibri" w:cs="Arial"/>
    </w:rPr>
  </w:style>
  <w:style w:type="character" w:customStyle="1" w:styleId="CaptionChar">
    <w:name w:val="Caption Char"/>
    <w:aliases w:val="Table Caption Char"/>
    <w:basedOn w:val="DefaultParagraphFont"/>
    <w:link w:val="Caption"/>
    <w:uiPriority w:val="35"/>
    <w:semiHidden/>
    <w:locked/>
    <w:rsid w:val="00A67477"/>
    <w:rPr>
      <w:i/>
      <w:iCs/>
      <w:color w:val="1F497D"/>
      <w:sz w:val="18"/>
      <w:szCs w:val="18"/>
    </w:rPr>
  </w:style>
  <w:style w:type="paragraph" w:styleId="Caption">
    <w:name w:val="caption"/>
    <w:aliases w:val="Table Caption"/>
    <w:basedOn w:val="Normal"/>
    <w:next w:val="Normal"/>
    <w:link w:val="CaptionChar"/>
    <w:uiPriority w:val="35"/>
    <w:semiHidden/>
    <w:unhideWhenUsed/>
    <w:qFormat/>
    <w:rsid w:val="00A67477"/>
    <w:pPr>
      <w:spacing w:after="200" w:line="240" w:lineRule="auto"/>
    </w:pPr>
    <w:rPr>
      <w:i/>
      <w:iCs/>
      <w:color w:val="1F497D"/>
      <w:sz w:val="18"/>
      <w:szCs w:val="18"/>
    </w:rPr>
  </w:style>
  <w:style w:type="paragraph" w:styleId="Title">
    <w:name w:val="Title"/>
    <w:basedOn w:val="Normal"/>
    <w:next w:val="Normal"/>
    <w:link w:val="TitleChar"/>
    <w:uiPriority w:val="10"/>
    <w:qFormat/>
    <w:rsid w:val="00A67477"/>
    <w:pPr>
      <w:pBdr>
        <w:bottom w:val="single" w:sz="8" w:space="4" w:color="4F81BD"/>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A67477"/>
    <w:rPr>
      <w:rFonts w:ascii="Calibri Light" w:eastAsia="Times New Roman" w:hAnsi="Calibri Light" w:cs="Times New Roman"/>
      <w:spacing w:val="-10"/>
      <w:kern w:val="28"/>
      <w:sz w:val="56"/>
      <w:szCs w:val="56"/>
    </w:rPr>
  </w:style>
  <w:style w:type="paragraph" w:styleId="BodyText">
    <w:name w:val="Body Text"/>
    <w:basedOn w:val="Normal"/>
    <w:link w:val="BodyTextChar"/>
    <w:uiPriority w:val="1"/>
    <w:semiHidden/>
    <w:unhideWhenUsed/>
    <w:qFormat/>
    <w:rsid w:val="00A67477"/>
    <w:pPr>
      <w:widowControl w:val="0"/>
      <w:autoSpaceDE w:val="0"/>
      <w:autoSpaceDN w:val="0"/>
      <w:spacing w:after="0" w:line="240" w:lineRule="auto"/>
    </w:pPr>
    <w:rPr>
      <w:rFonts w:ascii="Times New Roman" w:eastAsia="Times New Roman" w:hAnsi="Times New Roman" w:cs="Times New Roman"/>
      <w:sz w:val="30"/>
      <w:szCs w:val="30"/>
    </w:rPr>
  </w:style>
  <w:style w:type="character" w:customStyle="1" w:styleId="BodyTextChar">
    <w:name w:val="Body Text Char"/>
    <w:basedOn w:val="DefaultParagraphFont"/>
    <w:link w:val="BodyText"/>
    <w:uiPriority w:val="1"/>
    <w:semiHidden/>
    <w:rsid w:val="00A67477"/>
    <w:rPr>
      <w:rFonts w:ascii="Times New Roman" w:eastAsia="Times New Roman" w:hAnsi="Times New Roman" w:cs="Times New Roman"/>
      <w:sz w:val="30"/>
      <w:szCs w:val="30"/>
    </w:rPr>
  </w:style>
  <w:style w:type="character" w:customStyle="1" w:styleId="BalloonTextChar">
    <w:name w:val="Balloon Text Char"/>
    <w:basedOn w:val="DefaultParagraphFont"/>
    <w:link w:val="BalloonText"/>
    <w:uiPriority w:val="99"/>
    <w:semiHidden/>
    <w:rsid w:val="00A67477"/>
    <w:rPr>
      <w:rFonts w:ascii="Segoe UI" w:eastAsia="Calibri" w:hAnsi="Segoe UI" w:cs="Segoe UI"/>
      <w:sz w:val="18"/>
      <w:szCs w:val="18"/>
    </w:rPr>
  </w:style>
  <w:style w:type="paragraph" w:styleId="BalloonText">
    <w:name w:val="Balloon Text"/>
    <w:basedOn w:val="Normal"/>
    <w:link w:val="BalloonTextChar"/>
    <w:uiPriority w:val="99"/>
    <w:semiHidden/>
    <w:unhideWhenUsed/>
    <w:rsid w:val="00A67477"/>
    <w:pPr>
      <w:spacing w:after="0" w:line="240" w:lineRule="auto"/>
    </w:pPr>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A67477"/>
  </w:style>
  <w:style w:type="paragraph" w:styleId="ListParagraph">
    <w:name w:val="List Paragraph"/>
    <w:basedOn w:val="Normal"/>
    <w:link w:val="ListParagraphChar"/>
    <w:uiPriority w:val="34"/>
    <w:qFormat/>
    <w:rsid w:val="00A67477"/>
    <w:pPr>
      <w:spacing w:line="256" w:lineRule="auto"/>
      <w:ind w:left="720"/>
      <w:contextualSpacing/>
    </w:pPr>
  </w:style>
  <w:style w:type="paragraph" w:customStyle="1" w:styleId="Heading41">
    <w:name w:val="Heading 41"/>
    <w:basedOn w:val="Normal"/>
    <w:next w:val="Normal"/>
    <w:uiPriority w:val="9"/>
    <w:qFormat/>
    <w:rsid w:val="00A67477"/>
    <w:pPr>
      <w:keepNext/>
      <w:keepLines/>
      <w:spacing w:before="40" w:after="0" w:line="256" w:lineRule="auto"/>
      <w:outlineLvl w:val="3"/>
    </w:pPr>
    <w:rPr>
      <w:rFonts w:ascii="Calibri Light" w:eastAsia="Times New Roman" w:hAnsi="Calibri Light" w:cs="Times New Roman"/>
      <w:i/>
      <w:iCs/>
      <w:color w:val="2F5496"/>
    </w:rPr>
  </w:style>
  <w:style w:type="paragraph" w:customStyle="1" w:styleId="Heading51">
    <w:name w:val="Heading 51"/>
    <w:basedOn w:val="Normal"/>
    <w:next w:val="Normal"/>
    <w:uiPriority w:val="9"/>
    <w:qFormat/>
    <w:rsid w:val="00A67477"/>
    <w:pPr>
      <w:keepNext/>
      <w:keepLines/>
      <w:spacing w:before="200" w:after="0" w:line="256" w:lineRule="auto"/>
      <w:outlineLvl w:val="4"/>
    </w:pPr>
    <w:rPr>
      <w:rFonts w:ascii="Calibri Light" w:eastAsia="Times New Roman" w:hAnsi="Calibri Light" w:cs="Times New Roman"/>
      <w:color w:val="1F3763"/>
    </w:rPr>
  </w:style>
  <w:style w:type="character" w:customStyle="1" w:styleId="EndNoteBibliographyTitleChar">
    <w:name w:val="EndNote Bibliography Title Char"/>
    <w:basedOn w:val="DefaultParagraphFont"/>
    <w:link w:val="EndNoteBibliographyTitle"/>
    <w:locked/>
    <w:rsid w:val="00A67477"/>
    <w:rPr>
      <w:noProof/>
    </w:rPr>
  </w:style>
  <w:style w:type="paragraph" w:customStyle="1" w:styleId="EndNoteBibliographyTitle">
    <w:name w:val="EndNote Bibliography Title"/>
    <w:basedOn w:val="Normal"/>
    <w:link w:val="EndNoteBibliographyTitleChar"/>
    <w:rsid w:val="00A67477"/>
    <w:pPr>
      <w:spacing w:after="0" w:line="256" w:lineRule="auto"/>
      <w:jc w:val="center"/>
    </w:pPr>
    <w:rPr>
      <w:noProof/>
    </w:rPr>
  </w:style>
  <w:style w:type="character" w:customStyle="1" w:styleId="EndNoteBibliographyChar">
    <w:name w:val="EndNote Bibliography Char"/>
    <w:basedOn w:val="DefaultParagraphFont"/>
    <w:link w:val="EndNoteBibliography"/>
    <w:locked/>
    <w:rsid w:val="00A67477"/>
    <w:rPr>
      <w:noProof/>
    </w:rPr>
  </w:style>
  <w:style w:type="paragraph" w:customStyle="1" w:styleId="EndNoteBibliography">
    <w:name w:val="EndNote Bibliography"/>
    <w:basedOn w:val="Normal"/>
    <w:link w:val="EndNoteBibliographyChar"/>
    <w:rsid w:val="00A67477"/>
    <w:pPr>
      <w:spacing w:line="240" w:lineRule="auto"/>
      <w:jc w:val="both"/>
    </w:pPr>
    <w:rPr>
      <w:noProof/>
    </w:rPr>
  </w:style>
  <w:style w:type="paragraph" w:customStyle="1" w:styleId="simplepara">
    <w:name w:val="simplepara"/>
    <w:basedOn w:val="Normal"/>
    <w:uiPriority w:val="99"/>
    <w:rsid w:val="00A67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uiPriority w:val="99"/>
    <w:rsid w:val="00A674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A674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9">
    <w:name w:val="Pa9"/>
    <w:basedOn w:val="Default"/>
    <w:next w:val="Default"/>
    <w:uiPriority w:val="99"/>
    <w:rsid w:val="00A67477"/>
    <w:pPr>
      <w:spacing w:line="201" w:lineRule="atLeast"/>
    </w:pPr>
    <w:rPr>
      <w:rFonts w:ascii="Frutiger LT Std 45 Light" w:hAnsi="Frutiger LT Std 45 Light" w:cs="Arial"/>
      <w:color w:val="auto"/>
    </w:rPr>
  </w:style>
  <w:style w:type="paragraph" w:customStyle="1" w:styleId="Title1">
    <w:name w:val="Title1"/>
    <w:basedOn w:val="Normal"/>
    <w:next w:val="Normal"/>
    <w:uiPriority w:val="10"/>
    <w:qFormat/>
    <w:rsid w:val="00A67477"/>
    <w:pPr>
      <w:bidi/>
      <w:spacing w:after="0" w:line="240" w:lineRule="auto"/>
      <w:contextualSpacing/>
    </w:pPr>
    <w:rPr>
      <w:rFonts w:ascii="Calibri Light" w:eastAsia="Times New Roman" w:hAnsi="Calibri Light" w:cs="Times New Roman"/>
      <w:spacing w:val="-10"/>
      <w:kern w:val="28"/>
      <w:sz w:val="56"/>
      <w:szCs w:val="56"/>
    </w:rPr>
  </w:style>
  <w:style w:type="paragraph" w:customStyle="1" w:styleId="ParaAttribute20">
    <w:name w:val="ParaAttribute20"/>
    <w:uiPriority w:val="99"/>
    <w:rsid w:val="00A67477"/>
    <w:pPr>
      <w:wordWrap w:val="0"/>
      <w:spacing w:after="0" w:line="240" w:lineRule="auto"/>
      <w:ind w:left="360" w:firstLine="360"/>
    </w:pPr>
    <w:rPr>
      <w:rFonts w:ascii="Times New Roman" w:eastAsia="Batang" w:hAnsi="Times New Roman" w:cs="Times New Roman"/>
      <w:sz w:val="20"/>
      <w:szCs w:val="20"/>
      <w:lang w:eastAsia="ja-JP"/>
    </w:rPr>
  </w:style>
  <w:style w:type="paragraph" w:customStyle="1" w:styleId="ParaAttribute23">
    <w:name w:val="ParaAttribute23"/>
    <w:uiPriority w:val="99"/>
    <w:rsid w:val="00A67477"/>
    <w:pPr>
      <w:wordWrap w:val="0"/>
      <w:spacing w:after="0" w:line="240" w:lineRule="auto"/>
      <w:ind w:left="284"/>
    </w:pPr>
    <w:rPr>
      <w:rFonts w:ascii="Times New Roman" w:eastAsia="Batang" w:hAnsi="Times New Roman" w:cs="Times New Roman"/>
      <w:sz w:val="20"/>
      <w:szCs w:val="20"/>
      <w:lang w:eastAsia="ja-JP"/>
    </w:rPr>
  </w:style>
  <w:style w:type="paragraph" w:customStyle="1" w:styleId="ParaAttribute24">
    <w:name w:val="ParaAttribute24"/>
    <w:uiPriority w:val="99"/>
    <w:rsid w:val="00A67477"/>
    <w:pPr>
      <w:widowControl w:val="0"/>
      <w:wordWrap w:val="0"/>
      <w:spacing w:after="0" w:line="240" w:lineRule="auto"/>
      <w:ind w:left="284"/>
    </w:pPr>
    <w:rPr>
      <w:rFonts w:ascii="Times New Roman" w:eastAsia="Batang" w:hAnsi="Times New Roman" w:cs="Times New Roman"/>
      <w:sz w:val="20"/>
      <w:szCs w:val="20"/>
      <w:lang w:eastAsia="ja-JP"/>
    </w:rPr>
  </w:style>
  <w:style w:type="paragraph" w:customStyle="1" w:styleId="chapter-para">
    <w:name w:val="chapter-para"/>
    <w:basedOn w:val="Normal"/>
    <w:uiPriority w:val="99"/>
    <w:rsid w:val="00A67477"/>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customStyle="1" w:styleId="paragraphChar">
    <w:name w:val="paragraph Char"/>
    <w:basedOn w:val="DefaultParagraphFont"/>
    <w:link w:val="paragraph"/>
    <w:locked/>
    <w:rsid w:val="00A67477"/>
    <w:rPr>
      <w:rFonts w:asciiTheme="majorBidi" w:eastAsia="AdvOT678fd422" w:hAnsiTheme="majorBidi" w:cstheme="majorBidi"/>
      <w:sz w:val="28"/>
      <w:szCs w:val="28"/>
    </w:rPr>
  </w:style>
  <w:style w:type="paragraph" w:customStyle="1" w:styleId="paragraph">
    <w:name w:val="paragraph"/>
    <w:basedOn w:val="Normal"/>
    <w:link w:val="paragraphChar"/>
    <w:qFormat/>
    <w:rsid w:val="00A67477"/>
    <w:pPr>
      <w:spacing w:before="200" w:after="200" w:line="360" w:lineRule="auto"/>
      <w:ind w:firstLine="720"/>
      <w:jc w:val="both"/>
    </w:pPr>
    <w:rPr>
      <w:rFonts w:asciiTheme="majorBidi" w:eastAsia="AdvOT678fd422" w:hAnsiTheme="majorBidi" w:cstheme="majorBidi"/>
      <w:sz w:val="28"/>
      <w:szCs w:val="28"/>
    </w:rPr>
  </w:style>
  <w:style w:type="character" w:customStyle="1" w:styleId="Header2Char">
    <w:name w:val="Header 2 Char"/>
    <w:basedOn w:val="Heading2Char"/>
    <w:link w:val="Header2"/>
    <w:locked/>
    <w:rsid w:val="00A67477"/>
    <w:rPr>
      <w:rFonts w:asciiTheme="majorBidi" w:eastAsia="SimSun" w:hAnsiTheme="majorBidi" w:cs="Times New Roman"/>
      <w:b/>
      <w:bCs/>
      <w:color w:val="4F81BD"/>
      <w:sz w:val="32"/>
      <w:szCs w:val="32"/>
    </w:rPr>
  </w:style>
  <w:style w:type="paragraph" w:customStyle="1" w:styleId="Header2">
    <w:name w:val="Header 2"/>
    <w:basedOn w:val="Heading2"/>
    <w:link w:val="Header2Char"/>
    <w:qFormat/>
    <w:rsid w:val="00A67477"/>
    <w:pPr>
      <w:spacing w:before="0" w:line="360" w:lineRule="auto"/>
      <w:ind w:left="360"/>
    </w:pPr>
    <w:rPr>
      <w:rFonts w:asciiTheme="majorBidi" w:hAnsiTheme="majorBidi"/>
      <w:sz w:val="32"/>
      <w:szCs w:val="32"/>
    </w:rPr>
  </w:style>
  <w:style w:type="character" w:customStyle="1" w:styleId="Header3Char">
    <w:name w:val="Header 3 Char"/>
    <w:basedOn w:val="Header2Char"/>
    <w:link w:val="Header3"/>
    <w:locked/>
    <w:rsid w:val="00A67477"/>
    <w:rPr>
      <w:rFonts w:asciiTheme="majorBidi" w:eastAsia="SimSun" w:hAnsiTheme="majorBidi" w:cs="Times New Roman"/>
      <w:b/>
      <w:bCs/>
      <w:color w:val="4F81BD"/>
      <w:sz w:val="28"/>
      <w:szCs w:val="28"/>
    </w:rPr>
  </w:style>
  <w:style w:type="paragraph" w:customStyle="1" w:styleId="Header3">
    <w:name w:val="Header 3"/>
    <w:basedOn w:val="Header2"/>
    <w:link w:val="Header3Char"/>
    <w:qFormat/>
    <w:rsid w:val="00A67477"/>
    <w:pPr>
      <w:ind w:left="630"/>
    </w:pPr>
    <w:rPr>
      <w:sz w:val="28"/>
      <w:szCs w:val="28"/>
    </w:rPr>
  </w:style>
  <w:style w:type="character" w:customStyle="1" w:styleId="Header1Char">
    <w:name w:val="Header 1 Char"/>
    <w:basedOn w:val="Heading1Char"/>
    <w:link w:val="Header1"/>
    <w:locked/>
    <w:rsid w:val="00A67477"/>
    <w:rPr>
      <w:rFonts w:asciiTheme="majorBidi" w:eastAsia="SimSun" w:hAnsiTheme="majorBidi" w:cs="Times New Roman"/>
      <w:b/>
      <w:bCs/>
      <w:color w:val="365F91"/>
      <w:sz w:val="36"/>
      <w:szCs w:val="36"/>
      <w:lang w:bidi="en-US"/>
    </w:rPr>
  </w:style>
  <w:style w:type="paragraph" w:customStyle="1" w:styleId="Header1">
    <w:name w:val="Header 1"/>
    <w:basedOn w:val="Heading1"/>
    <w:link w:val="Header1Char"/>
    <w:qFormat/>
    <w:rsid w:val="00A67477"/>
    <w:pPr>
      <w:spacing w:before="0" w:line="360" w:lineRule="auto"/>
      <w:jc w:val="both"/>
    </w:pPr>
    <w:rPr>
      <w:rFonts w:asciiTheme="majorBidi" w:hAnsiTheme="majorBidi"/>
      <w:b/>
      <w:bCs/>
      <w:sz w:val="36"/>
      <w:szCs w:val="36"/>
      <w:lang w:bidi="en-US"/>
    </w:rPr>
  </w:style>
  <w:style w:type="character" w:customStyle="1" w:styleId="FigCapChar">
    <w:name w:val="Fig Cap Char"/>
    <w:basedOn w:val="CaptionChar"/>
    <w:link w:val="FigCap"/>
    <w:locked/>
    <w:rsid w:val="00A67477"/>
    <w:rPr>
      <w:rFonts w:asciiTheme="majorBidi" w:eastAsiaTheme="minorEastAsia" w:hAnsiTheme="majorBidi" w:cstheme="majorBidi"/>
      <w:b/>
      <w:bCs/>
      <w:i w:val="0"/>
      <w:iCs w:val="0"/>
      <w:color w:val="1F497D"/>
      <w:sz w:val="28"/>
      <w:szCs w:val="28"/>
      <w:lang w:bidi="ar-EG"/>
    </w:rPr>
  </w:style>
  <w:style w:type="paragraph" w:customStyle="1" w:styleId="FigCap">
    <w:name w:val="Fig Cap"/>
    <w:basedOn w:val="Normal"/>
    <w:link w:val="FigCapChar"/>
    <w:qFormat/>
    <w:rsid w:val="00A67477"/>
    <w:pPr>
      <w:spacing w:before="200" w:after="200" w:line="360" w:lineRule="auto"/>
      <w:jc w:val="center"/>
    </w:pPr>
    <w:rPr>
      <w:rFonts w:asciiTheme="majorBidi" w:eastAsiaTheme="minorEastAsia" w:hAnsiTheme="majorBidi" w:cstheme="majorBidi"/>
      <w:b/>
      <w:bCs/>
      <w:color w:val="1F497D"/>
      <w:sz w:val="28"/>
      <w:szCs w:val="28"/>
      <w:lang w:bidi="ar-EG"/>
    </w:rPr>
  </w:style>
  <w:style w:type="paragraph" w:customStyle="1" w:styleId="TableParagraph">
    <w:name w:val="Table Paragraph"/>
    <w:basedOn w:val="Normal"/>
    <w:uiPriority w:val="1"/>
    <w:qFormat/>
    <w:rsid w:val="00A67477"/>
    <w:pPr>
      <w:widowControl w:val="0"/>
      <w:autoSpaceDE w:val="0"/>
      <w:autoSpaceDN w:val="0"/>
      <w:spacing w:after="0" w:line="240" w:lineRule="auto"/>
    </w:pPr>
    <w:rPr>
      <w:rFonts w:ascii="Times New Roman" w:eastAsia="Times New Roman" w:hAnsi="Times New Roman" w:cs="Times New Roman"/>
    </w:rPr>
  </w:style>
  <w:style w:type="character" w:customStyle="1" w:styleId="citationref">
    <w:name w:val="citationref"/>
    <w:basedOn w:val="DefaultParagraphFont"/>
    <w:rsid w:val="00A67477"/>
  </w:style>
  <w:style w:type="character" w:customStyle="1" w:styleId="internalref">
    <w:name w:val="internalref"/>
    <w:basedOn w:val="DefaultParagraphFont"/>
    <w:rsid w:val="00A67477"/>
  </w:style>
  <w:style w:type="character" w:customStyle="1" w:styleId="captionnumber">
    <w:name w:val="captionnumber"/>
    <w:basedOn w:val="DefaultParagraphFont"/>
    <w:rsid w:val="00A67477"/>
  </w:style>
  <w:style w:type="character" w:customStyle="1" w:styleId="externalref">
    <w:name w:val="externalref"/>
    <w:basedOn w:val="DefaultParagraphFont"/>
    <w:rsid w:val="00A67477"/>
  </w:style>
  <w:style w:type="character" w:customStyle="1" w:styleId="refsource">
    <w:name w:val="refsource"/>
    <w:basedOn w:val="DefaultParagraphFont"/>
    <w:rsid w:val="00A67477"/>
  </w:style>
  <w:style w:type="character" w:customStyle="1" w:styleId="u-small-caps">
    <w:name w:val="u-small-caps"/>
    <w:basedOn w:val="DefaultParagraphFont"/>
    <w:rsid w:val="00A67477"/>
  </w:style>
  <w:style w:type="character" w:customStyle="1" w:styleId="ref-lnk">
    <w:name w:val="ref-lnk"/>
    <w:basedOn w:val="DefaultParagraphFont"/>
    <w:rsid w:val="00A67477"/>
  </w:style>
  <w:style w:type="character" w:customStyle="1" w:styleId="smallcaps">
    <w:name w:val="smallcaps"/>
    <w:basedOn w:val="DefaultParagraphFont"/>
    <w:rsid w:val="00A67477"/>
  </w:style>
  <w:style w:type="character" w:customStyle="1" w:styleId="fipmark">
    <w:name w:val="fip_mark"/>
    <w:basedOn w:val="DefaultParagraphFont"/>
    <w:rsid w:val="00A67477"/>
  </w:style>
  <w:style w:type="character" w:customStyle="1" w:styleId="table-captionlabel">
    <w:name w:val="table-caption__label"/>
    <w:basedOn w:val="DefaultParagraphFont"/>
    <w:rsid w:val="00A67477"/>
  </w:style>
  <w:style w:type="character" w:customStyle="1" w:styleId="apple-style-span">
    <w:name w:val="apple-style-span"/>
    <w:basedOn w:val="DefaultParagraphFont"/>
    <w:rsid w:val="00A67477"/>
  </w:style>
  <w:style w:type="character" w:customStyle="1" w:styleId="topic-highlight">
    <w:name w:val="topic-highlight"/>
    <w:basedOn w:val="DefaultParagraphFont"/>
    <w:rsid w:val="00A67477"/>
  </w:style>
  <w:style w:type="character" w:customStyle="1" w:styleId="Heading4Char1">
    <w:name w:val="Heading 4 Char1"/>
    <w:basedOn w:val="DefaultParagraphFont"/>
    <w:uiPriority w:val="9"/>
    <w:rsid w:val="00A67477"/>
    <w:rPr>
      <w:rFonts w:ascii="Cambria" w:eastAsia="SimSun" w:hAnsi="Cambria" w:cs="Times New Roman" w:hint="default"/>
      <w:b/>
      <w:bCs/>
      <w:i/>
      <w:iCs/>
      <w:color w:val="4F81BD"/>
    </w:rPr>
  </w:style>
  <w:style w:type="character" w:customStyle="1" w:styleId="Heading5Char1">
    <w:name w:val="Heading 5 Char1"/>
    <w:basedOn w:val="DefaultParagraphFont"/>
    <w:uiPriority w:val="9"/>
    <w:rsid w:val="00A67477"/>
    <w:rPr>
      <w:rFonts w:ascii="Cambria" w:eastAsia="SimSun" w:hAnsi="Cambria" w:cs="Times New Roman" w:hint="default"/>
      <w:color w:val="243F60"/>
    </w:rPr>
  </w:style>
  <w:style w:type="character" w:customStyle="1" w:styleId="TitleChar1">
    <w:name w:val="Title Char1"/>
    <w:basedOn w:val="DefaultParagraphFont"/>
    <w:uiPriority w:val="10"/>
    <w:rsid w:val="00A67477"/>
    <w:rPr>
      <w:rFonts w:asciiTheme="majorHAnsi" w:eastAsiaTheme="majorEastAsia" w:hAnsiTheme="majorHAnsi" w:cstheme="majorBidi" w:hint="default"/>
      <w:spacing w:val="-10"/>
      <w:kern w:val="28"/>
      <w:sz w:val="56"/>
      <w:szCs w:val="56"/>
    </w:rPr>
  </w:style>
  <w:style w:type="character" w:customStyle="1" w:styleId="st">
    <w:name w:val="st"/>
    <w:basedOn w:val="DefaultParagraphFont"/>
    <w:rsid w:val="00A67477"/>
  </w:style>
  <w:style w:type="character" w:customStyle="1" w:styleId="CharAttribute37">
    <w:name w:val="CharAttribute37"/>
    <w:uiPriority w:val="99"/>
    <w:rsid w:val="00A67477"/>
    <w:rPr>
      <w:rFonts w:ascii="Calibri" w:eastAsia="Batang" w:hAnsi="Calibri" w:cs="Calibri" w:hint="default"/>
      <w:sz w:val="24"/>
    </w:rPr>
  </w:style>
  <w:style w:type="character" w:customStyle="1" w:styleId="CharAttribute44">
    <w:name w:val="CharAttribute44"/>
    <w:uiPriority w:val="99"/>
    <w:rsid w:val="00A67477"/>
    <w:rPr>
      <w:rFonts w:ascii="Calibri" w:eastAsia="Times New Roman" w:hAnsi="Calibri" w:cs="Calibri" w:hint="default"/>
      <w:b/>
      <w:bCs w:val="0"/>
      <w:sz w:val="24"/>
      <w:u w:val="single"/>
    </w:rPr>
  </w:style>
  <w:style w:type="character" w:customStyle="1" w:styleId="CharAttribute51">
    <w:name w:val="CharAttribute51"/>
    <w:uiPriority w:val="99"/>
    <w:rsid w:val="00A67477"/>
    <w:rPr>
      <w:rFonts w:ascii="Calibri" w:eastAsia="Times New Roman" w:hAnsi="Calibri" w:cs="Calibri" w:hint="default"/>
      <w:b/>
      <w:bCs w:val="0"/>
      <w:i/>
      <w:iCs w:val="0"/>
      <w:sz w:val="24"/>
    </w:rPr>
  </w:style>
  <w:style w:type="character" w:customStyle="1" w:styleId="markedcontent">
    <w:name w:val="markedcontent"/>
    <w:basedOn w:val="DefaultParagraphFont"/>
    <w:rsid w:val="00A67477"/>
  </w:style>
  <w:style w:type="character" w:customStyle="1" w:styleId="nowrap">
    <w:name w:val="nowrap"/>
    <w:basedOn w:val="DefaultParagraphFont"/>
    <w:rsid w:val="00A67477"/>
  </w:style>
  <w:style w:type="character" w:customStyle="1" w:styleId="ref-journal">
    <w:name w:val="ref-journal"/>
    <w:basedOn w:val="DefaultParagraphFont"/>
    <w:rsid w:val="00A67477"/>
  </w:style>
  <w:style w:type="character" w:customStyle="1" w:styleId="ref-vol">
    <w:name w:val="ref-vol"/>
    <w:basedOn w:val="DefaultParagraphFont"/>
    <w:rsid w:val="00A67477"/>
  </w:style>
  <w:style w:type="character" w:customStyle="1" w:styleId="element-citation">
    <w:name w:val="element-citation"/>
    <w:basedOn w:val="DefaultParagraphFont"/>
    <w:rsid w:val="00A67477"/>
  </w:style>
  <w:style w:type="character" w:customStyle="1" w:styleId="normal1">
    <w:name w:val="normal1"/>
    <w:basedOn w:val="DefaultParagraphFont"/>
    <w:rsid w:val="00A67477"/>
    <w:rPr>
      <w:rFonts w:ascii="Arial" w:hAnsi="Arial" w:cs="Arial" w:hint="default"/>
      <w:color w:val="000000"/>
      <w:sz w:val="20"/>
      <w:szCs w:val="20"/>
    </w:rPr>
  </w:style>
  <w:style w:type="character" w:customStyle="1" w:styleId="result">
    <w:name w:val="result"/>
    <w:basedOn w:val="DefaultParagraphFont"/>
    <w:rsid w:val="00A67477"/>
    <w:rPr>
      <w:color w:val="000080"/>
    </w:rPr>
  </w:style>
  <w:style w:type="character" w:customStyle="1" w:styleId="warning">
    <w:name w:val="warning"/>
    <w:basedOn w:val="DefaultParagraphFont"/>
    <w:rsid w:val="00A67477"/>
    <w:rPr>
      <w:color w:val="FF0000"/>
    </w:rPr>
  </w:style>
  <w:style w:type="paragraph" w:styleId="NormalWeb">
    <w:name w:val="Normal (Web)"/>
    <w:basedOn w:val="Normal"/>
    <w:uiPriority w:val="99"/>
    <w:unhideWhenUsed/>
    <w:rsid w:val="004A2F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2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73155">
      <w:bodyDiv w:val="1"/>
      <w:marLeft w:val="0"/>
      <w:marRight w:val="0"/>
      <w:marTop w:val="0"/>
      <w:marBottom w:val="0"/>
      <w:divBdr>
        <w:top w:val="none" w:sz="0" w:space="0" w:color="auto"/>
        <w:left w:val="none" w:sz="0" w:space="0" w:color="auto"/>
        <w:bottom w:val="none" w:sz="0" w:space="0" w:color="auto"/>
        <w:right w:val="none" w:sz="0" w:space="0" w:color="auto"/>
      </w:divBdr>
    </w:div>
    <w:div w:id="298388351">
      <w:bodyDiv w:val="1"/>
      <w:marLeft w:val="0"/>
      <w:marRight w:val="0"/>
      <w:marTop w:val="0"/>
      <w:marBottom w:val="0"/>
      <w:divBdr>
        <w:top w:val="none" w:sz="0" w:space="0" w:color="auto"/>
        <w:left w:val="none" w:sz="0" w:space="0" w:color="auto"/>
        <w:bottom w:val="none" w:sz="0" w:space="0" w:color="auto"/>
        <w:right w:val="none" w:sz="0" w:space="0" w:color="auto"/>
      </w:divBdr>
    </w:div>
    <w:div w:id="358629806">
      <w:bodyDiv w:val="1"/>
      <w:marLeft w:val="0"/>
      <w:marRight w:val="0"/>
      <w:marTop w:val="0"/>
      <w:marBottom w:val="0"/>
      <w:divBdr>
        <w:top w:val="none" w:sz="0" w:space="0" w:color="auto"/>
        <w:left w:val="none" w:sz="0" w:space="0" w:color="auto"/>
        <w:bottom w:val="none" w:sz="0" w:space="0" w:color="auto"/>
        <w:right w:val="none" w:sz="0" w:space="0" w:color="auto"/>
      </w:divBdr>
    </w:div>
    <w:div w:id="949362236">
      <w:bodyDiv w:val="1"/>
      <w:marLeft w:val="0"/>
      <w:marRight w:val="0"/>
      <w:marTop w:val="0"/>
      <w:marBottom w:val="0"/>
      <w:divBdr>
        <w:top w:val="none" w:sz="0" w:space="0" w:color="auto"/>
        <w:left w:val="none" w:sz="0" w:space="0" w:color="auto"/>
        <w:bottom w:val="none" w:sz="0" w:space="0" w:color="auto"/>
        <w:right w:val="none" w:sz="0" w:space="0" w:color="auto"/>
      </w:divBdr>
    </w:div>
    <w:div w:id="19841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18</Pages>
  <Words>8168</Words>
  <Characters>46564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4</cp:revision>
  <dcterms:created xsi:type="dcterms:W3CDTF">2025-07-09T12:17:00Z</dcterms:created>
  <dcterms:modified xsi:type="dcterms:W3CDTF">2025-07-09T13:36:00Z</dcterms:modified>
</cp:coreProperties>
</file>